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92E86">
        <w:rPr>
          <w:rFonts w:hint="eastAsia"/>
        </w:rPr>
        <w:t>內政部營建</w:t>
      </w:r>
      <w:r w:rsidR="00B80A09" w:rsidRPr="00DE57C7">
        <w:rPr>
          <w:rFonts w:hAnsi="標楷體" w:hint="eastAsia"/>
          <w:color w:val="000000" w:themeColor="text1"/>
        </w:rPr>
        <w:t>署</w:t>
      </w:r>
      <w:r>
        <w:rPr>
          <w:rFonts w:hint="eastAsia"/>
        </w:rPr>
        <w:t>。</w:t>
      </w:r>
    </w:p>
    <w:p w:rsidR="00E25849" w:rsidRDefault="0025106C" w:rsidP="00DE42B9">
      <w:pPr>
        <w:pStyle w:val="1"/>
      </w:pPr>
      <w:r>
        <w:rPr>
          <w:rFonts w:hint="eastAsia"/>
        </w:rPr>
        <w:t>案　　　由：</w:t>
      </w:r>
      <w:r w:rsidR="00F92E86" w:rsidRPr="009F1396">
        <w:rPr>
          <w:rFonts w:hint="eastAsia"/>
          <w:color w:val="000000" w:themeColor="text1"/>
        </w:rPr>
        <w:t>內政部營建署辦理臺南科學工業園區特定區道路興闢工程，未修正協議書範本之要項及內容，造成設計審查與施工監造之督導明顯存有落差</w:t>
      </w:r>
      <w:r w:rsidR="009F1396" w:rsidRPr="009F1396">
        <w:rPr>
          <w:rFonts w:hint="eastAsia"/>
          <w:color w:val="000000" w:themeColor="text1"/>
        </w:rPr>
        <w:t>；又該署對於承包廠商使用非屬契約規範所允許之鋼爐碴級配粒料底層，未確實依代辦協議書規定督導監造單位覈實審查，致完工後路面隆起漲裂，影響行車安全，斲傷政府形象</w:t>
      </w:r>
      <w:r w:rsidR="008B4841" w:rsidRPr="009F1396">
        <w:rPr>
          <w:rFonts w:hint="eastAsia"/>
          <w:color w:val="000000" w:themeColor="text1"/>
        </w:rPr>
        <w:t>，</w:t>
      </w:r>
      <w:r w:rsidR="009F1396">
        <w:rPr>
          <w:rFonts w:hint="eastAsia"/>
          <w:color w:val="000000" w:themeColor="text1"/>
        </w:rPr>
        <w:t>顯</w:t>
      </w:r>
      <w:r w:rsidR="0063649A" w:rsidRPr="009F1396">
        <w:rPr>
          <w:rFonts w:hint="eastAsia"/>
          <w:color w:val="000000" w:themeColor="text1"/>
        </w:rPr>
        <w:t>有疏失，</w:t>
      </w:r>
      <w:r w:rsidR="008B4841" w:rsidRPr="009F1396">
        <w:rPr>
          <w:rFonts w:hint="eastAsia"/>
          <w:color w:val="000000" w:themeColor="text1"/>
        </w:rPr>
        <w:t>爰依法提案糾正</w:t>
      </w:r>
      <w:r w:rsidRPr="009F1396">
        <w:rPr>
          <w:rFonts w:hint="eastAsia"/>
          <w:color w:val="000000" w:themeColor="text1"/>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92E86" w:rsidRPr="002010B0" w:rsidRDefault="00F92E86" w:rsidP="00F92E86">
      <w:pPr>
        <w:pStyle w:val="2"/>
        <w:numPr>
          <w:ilvl w:val="1"/>
          <w:numId w:val="1"/>
        </w:numPr>
        <w:rPr>
          <w:b w:val="0"/>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color w:val="000000" w:themeColor="text1"/>
        </w:rPr>
        <w:t>內政部</w:t>
      </w:r>
      <w:r w:rsidRPr="002010B0">
        <w:rPr>
          <w:rFonts w:hint="eastAsia"/>
          <w:color w:val="000000" w:themeColor="text1"/>
        </w:rPr>
        <w:t>營建署</w:t>
      </w:r>
      <w:r>
        <w:rPr>
          <w:rFonts w:hint="eastAsia"/>
          <w:color w:val="000000" w:themeColor="text1"/>
        </w:rPr>
        <w:t>辦理</w:t>
      </w:r>
      <w:r w:rsidRPr="00C41FA4">
        <w:rPr>
          <w:rFonts w:hint="eastAsia"/>
          <w:color w:val="000000" w:themeColor="text1"/>
        </w:rPr>
        <w:t>臺南科學工業園區特定區道路興闢工程，</w:t>
      </w:r>
      <w:r w:rsidRPr="002010B0">
        <w:rPr>
          <w:rFonts w:hint="eastAsia"/>
          <w:color w:val="000000" w:themeColor="text1"/>
        </w:rPr>
        <w:t>未依專案管理之特性及實際需要，</w:t>
      </w:r>
      <w:r>
        <w:rPr>
          <w:rFonts w:hint="eastAsia"/>
          <w:color w:val="000000" w:themeColor="text1"/>
        </w:rPr>
        <w:t>且</w:t>
      </w:r>
      <w:r w:rsidRPr="002010B0">
        <w:rPr>
          <w:rFonts w:hint="eastAsia"/>
          <w:color w:val="000000" w:themeColor="text1"/>
        </w:rPr>
        <w:t>未修正協議書或</w:t>
      </w:r>
      <w:r w:rsidRPr="00C41FA4">
        <w:rPr>
          <w:rFonts w:hint="eastAsia"/>
          <w:color w:val="000000" w:themeColor="text1"/>
        </w:rPr>
        <w:t>契約範本</w:t>
      </w:r>
      <w:r w:rsidRPr="002010B0">
        <w:rPr>
          <w:rFonts w:hint="eastAsia"/>
          <w:color w:val="000000" w:themeColor="text1"/>
        </w:rPr>
        <w:t>之要項及內容</w:t>
      </w:r>
      <w:r>
        <w:rPr>
          <w:rFonts w:hint="eastAsia"/>
          <w:color w:val="000000" w:themeColor="text1"/>
        </w:rPr>
        <w:t>，即與前臺南縣政府</w:t>
      </w:r>
      <w:r w:rsidR="00202A76">
        <w:rPr>
          <w:rFonts w:hint="eastAsia"/>
          <w:color w:val="000000" w:themeColor="text1"/>
        </w:rPr>
        <w:t>簽訂</w:t>
      </w:r>
      <w:r w:rsidRPr="00C41FA4">
        <w:rPr>
          <w:rFonts w:hint="eastAsia"/>
          <w:color w:val="000000" w:themeColor="text1"/>
        </w:rPr>
        <w:t>代辦協議書</w:t>
      </w:r>
      <w:r w:rsidRPr="002010B0">
        <w:rPr>
          <w:rFonts w:hint="eastAsia"/>
          <w:color w:val="000000" w:themeColor="text1"/>
        </w:rPr>
        <w:t>，造成設計審查與施工監造之督導明顯存有落差，洵有疏失。</w:t>
      </w:r>
    </w:p>
    <w:p w:rsidR="00F92E86" w:rsidRPr="00C41FA4" w:rsidRDefault="00F92E86" w:rsidP="00F92E86">
      <w:pPr>
        <w:pStyle w:val="3"/>
        <w:numPr>
          <w:ilvl w:val="2"/>
          <w:numId w:val="26"/>
        </w:numPr>
        <w:rPr>
          <w:color w:val="000000" w:themeColor="text1"/>
        </w:rPr>
      </w:pPr>
      <w:r w:rsidRPr="001F5E66">
        <w:rPr>
          <w:rFonts w:hint="eastAsia"/>
          <w:color w:val="000000" w:themeColor="text1"/>
        </w:rPr>
        <w:t>按政府採購法第63條第1項</w:t>
      </w:r>
      <w:r>
        <w:rPr>
          <w:rFonts w:hint="eastAsia"/>
          <w:color w:val="000000" w:themeColor="text1"/>
        </w:rPr>
        <w:t>(91年2月6日修正版)</w:t>
      </w:r>
      <w:r w:rsidRPr="001F5E66">
        <w:rPr>
          <w:rFonts w:hint="eastAsia"/>
          <w:color w:val="000000" w:themeColor="text1"/>
        </w:rPr>
        <w:t>規定：「</w:t>
      </w:r>
      <w:r>
        <w:rPr>
          <w:rFonts w:hint="eastAsia"/>
        </w:rPr>
        <w:t>各類採購契約之</w:t>
      </w:r>
      <w:r w:rsidRPr="001F5E66">
        <w:rPr>
          <w:rFonts w:hint="eastAsia"/>
          <w:color w:val="000000" w:themeColor="text1"/>
        </w:rPr>
        <w:t>要項</w:t>
      </w:r>
      <w:r>
        <w:rPr>
          <w:rFonts w:hint="eastAsia"/>
          <w:color w:val="000000" w:themeColor="text1"/>
        </w:rPr>
        <w:t>，</w:t>
      </w:r>
      <w:r w:rsidRPr="001F5E66">
        <w:rPr>
          <w:rFonts w:hint="eastAsia"/>
          <w:color w:val="000000" w:themeColor="text1"/>
        </w:rPr>
        <w:t>由主管機關參考國際及國內慣例定之。」係因</w:t>
      </w:r>
      <w:r>
        <w:rPr>
          <w:rFonts w:hint="eastAsia"/>
        </w:rPr>
        <w:t>契約之訂定應以維護公共利益及公平合理為原則，應明定各類採購契約之重要事項，以利各機</w:t>
      </w:r>
      <w:r w:rsidRPr="00C41FA4">
        <w:rPr>
          <w:rFonts w:hint="eastAsia"/>
          <w:color w:val="000000" w:themeColor="text1"/>
        </w:rPr>
        <w:t>關之執行。</w:t>
      </w:r>
    </w:p>
    <w:p w:rsidR="00F92E86" w:rsidRDefault="00F92E86" w:rsidP="00F92E86">
      <w:pPr>
        <w:pStyle w:val="3"/>
        <w:numPr>
          <w:ilvl w:val="2"/>
          <w:numId w:val="26"/>
        </w:numPr>
        <w:rPr>
          <w:color w:val="000000" w:themeColor="text1"/>
        </w:rPr>
      </w:pPr>
      <w:r w:rsidRPr="00C41FA4">
        <w:rPr>
          <w:rFonts w:hint="eastAsia"/>
          <w:color w:val="000000" w:themeColor="text1"/>
        </w:rPr>
        <w:t>前臺南縣(99年12月25日縣市合併改制為臺南市)政府鑑於「臺南科學工業園區特定區道路(3-50，下稱西拉雅大道)工程」及「臺南科學工業園區特定區道路(15-25，下稱目加溜灣大道)工程」為臺南科學工業園區主要聯外道路，係屬重大公共工程，且經費龐大，由於該府專業技術人力嚴重不足，遂委託</w:t>
      </w:r>
      <w:r w:rsidR="009F1396">
        <w:rPr>
          <w:rFonts w:hint="eastAsia"/>
          <w:color w:val="000000" w:themeColor="text1"/>
        </w:rPr>
        <w:t>內政部</w:t>
      </w:r>
      <w:r w:rsidRPr="00C41FA4">
        <w:rPr>
          <w:rFonts w:hint="eastAsia"/>
          <w:color w:val="000000" w:themeColor="text1"/>
        </w:rPr>
        <w:t>營建署</w:t>
      </w:r>
      <w:r w:rsidR="009F1396">
        <w:rPr>
          <w:rFonts w:hint="eastAsia"/>
          <w:color w:val="000000" w:themeColor="text1"/>
        </w:rPr>
        <w:t>(下稱營建署)</w:t>
      </w:r>
      <w:r w:rsidRPr="00C41FA4">
        <w:rPr>
          <w:rFonts w:hint="eastAsia"/>
          <w:color w:val="000000" w:themeColor="text1"/>
        </w:rPr>
        <w:t>代辦，並於94年1月31</w:t>
      </w:r>
      <w:r w:rsidRPr="00AB2080">
        <w:rPr>
          <w:rFonts w:hint="eastAsia"/>
          <w:color w:val="000000" w:themeColor="text1"/>
        </w:rPr>
        <w:t>日</w:t>
      </w:r>
      <w:r w:rsidRPr="00AB2080">
        <w:rPr>
          <w:rFonts w:hint="eastAsia"/>
          <w:color w:val="000000" w:themeColor="text1"/>
        </w:rPr>
        <w:lastRenderedPageBreak/>
        <w:t>簽訂「臺南科學工業園區特定區(1-60)、(2-50)、(15-25)及(3-50)號道路興闢工程委託代辦專案管理協議書」(下稱代辦協議書)</w:t>
      </w:r>
      <w:r>
        <w:rPr>
          <w:rFonts w:hint="eastAsia"/>
          <w:color w:val="000000" w:themeColor="text1"/>
        </w:rPr>
        <w:t>，其中代辦工程採購服務費率包括工程管理費及專案管理技術服務費，分別依「中央各機關工程管理費支用要點」及「機關委託技術服務廠商評選及計費辦法」規定辦理，代辦協議書生效後，前臺南縣政府即撥付予營建署新臺幣(下同)2百萬元作為先期作業費，且附表「甲方(</w:t>
      </w:r>
      <w:r w:rsidRPr="003C375F">
        <w:rPr>
          <w:rFonts w:hint="eastAsia"/>
          <w:color w:val="000000" w:themeColor="text1"/>
        </w:rPr>
        <w:t>前臺南縣政府</w:t>
      </w:r>
      <w:r>
        <w:rPr>
          <w:rFonts w:hint="eastAsia"/>
          <w:color w:val="000000" w:themeColor="text1"/>
        </w:rPr>
        <w:t>)、營建署、技術服務廠商與承包商之權責區分表」視同協議書之一部分。</w:t>
      </w:r>
    </w:p>
    <w:p w:rsidR="00F92E86" w:rsidRDefault="00F92E86" w:rsidP="00F92E86">
      <w:pPr>
        <w:pStyle w:val="3"/>
        <w:numPr>
          <w:ilvl w:val="2"/>
          <w:numId w:val="26"/>
        </w:numPr>
        <w:rPr>
          <w:color w:val="000000" w:themeColor="text1"/>
        </w:rPr>
      </w:pPr>
      <w:r w:rsidRPr="00C65F8C">
        <w:rPr>
          <w:rFonts w:hint="eastAsia"/>
          <w:color w:val="000000" w:themeColor="text1"/>
        </w:rPr>
        <w:t>經查代辦協議書代辦範圍</w:t>
      </w:r>
      <w:r w:rsidRPr="00525CF4">
        <w:rPr>
          <w:rFonts w:hint="eastAsia"/>
          <w:color w:val="000000"/>
        </w:rPr>
        <w:t>包括設計、公開閱覽、招標發包、施工及驗收等5階段</w:t>
      </w:r>
      <w:r>
        <w:rPr>
          <w:rFonts w:hint="eastAsia"/>
          <w:color w:val="000000"/>
        </w:rPr>
        <w:t>，其中</w:t>
      </w:r>
      <w:r w:rsidRPr="00C65F8C">
        <w:rPr>
          <w:rFonts w:hint="eastAsia"/>
          <w:color w:val="000000" w:themeColor="text1"/>
        </w:rPr>
        <w:t>第三條規範服務項目略</w:t>
      </w:r>
      <w:r>
        <w:rPr>
          <w:rFonts w:hint="eastAsia"/>
          <w:color w:val="000000" w:themeColor="text1"/>
        </w:rPr>
        <w:t>為</w:t>
      </w:r>
      <w:r w:rsidRPr="00C65F8C">
        <w:rPr>
          <w:rFonts w:hint="eastAsia"/>
          <w:color w:val="000000" w:themeColor="text1"/>
        </w:rPr>
        <w:t>：一、設計階段：協助審查技術服務廠商繪製之設計圖書說及施工預算書，審查技術服務廠商所提之主要建材、設備，送甲方核定。二、公開閱覽階段：依「營建署辦理公共工程招標文件圖說公開閱覽作業要點」辦理公開閱覽程序……。惟西拉雅大道工程及目加溜灣大道工程之委託細部規劃設計及監造技術服務</w:t>
      </w:r>
      <w:r>
        <w:rPr>
          <w:rFonts w:hint="eastAsia"/>
          <w:color w:val="000000" w:themeColor="text1"/>
        </w:rPr>
        <w:t>案</w:t>
      </w:r>
      <w:r w:rsidRPr="00C65F8C">
        <w:rPr>
          <w:rFonts w:hint="eastAsia"/>
          <w:color w:val="000000" w:themeColor="text1"/>
        </w:rPr>
        <w:t>，前臺南縣政府經公開採購評選後，分別於93年9月16日及93年11月11日與第一優勝廠商台聯工程顧問股份有限公司(下稱台聯顧問公司)簽約，且前臺南縣政府於設計階段即核定(「縣長蘇煥智甲章」代行)台聯顧問公司所提設計圖書說及施工預算書(西拉雅大道工程發包預算9億9,286萬餘元、目加溜灣大道工程發包預算6億1,151萬餘元)。詢據營建署查復略以：「當時設計階段僅於部分會議列席參與，並未實際協助設計審查，可由工程委託代辦專案管理協議書內權責區分表內工作項目並未包括設計階段，及本署未於工程預算書、設計圖說內簽章。」明顯與契約明文載明</w:t>
      </w:r>
      <w:r w:rsidRPr="00C65F8C">
        <w:rPr>
          <w:rFonts w:hint="eastAsia"/>
          <w:color w:val="000000" w:themeColor="text1"/>
        </w:rPr>
        <w:lastRenderedPageBreak/>
        <w:t>之代辦事項不符</w:t>
      </w:r>
      <w:r>
        <w:rPr>
          <w:rFonts w:hint="eastAsia"/>
          <w:color w:val="000000" w:themeColor="text1"/>
        </w:rPr>
        <w:t>。</w:t>
      </w:r>
    </w:p>
    <w:p w:rsidR="00F92E86" w:rsidRDefault="00F92E86" w:rsidP="00F92E86">
      <w:pPr>
        <w:pStyle w:val="3"/>
        <w:numPr>
          <w:ilvl w:val="2"/>
          <w:numId w:val="26"/>
        </w:numPr>
        <w:rPr>
          <w:color w:val="000000" w:themeColor="text1"/>
        </w:rPr>
      </w:pPr>
      <w:r>
        <w:rPr>
          <w:rFonts w:hint="eastAsia"/>
          <w:color w:val="000000" w:themeColor="text1"/>
        </w:rPr>
        <w:t>本案</w:t>
      </w:r>
      <w:r w:rsidRPr="00525CF4">
        <w:rPr>
          <w:rFonts w:hint="eastAsia"/>
          <w:color w:val="000000"/>
        </w:rPr>
        <w:t>為強化臺南科學園區周遭生活機能，開闢西拉雅及目加溜灣之計畫道路</w:t>
      </w:r>
      <w:r>
        <w:rPr>
          <w:rFonts w:hint="eastAsia"/>
          <w:color w:val="000000"/>
        </w:rPr>
        <w:t>，</w:t>
      </w:r>
      <w:r w:rsidRPr="002F7108">
        <w:rPr>
          <w:rFonts w:hint="eastAsia"/>
          <w:color w:val="000000"/>
        </w:rPr>
        <w:t>工程</w:t>
      </w:r>
      <w:r>
        <w:rPr>
          <w:rFonts w:hint="eastAsia"/>
          <w:color w:val="000000"/>
        </w:rPr>
        <w:t>承包</w:t>
      </w:r>
      <w:r w:rsidRPr="002F7108">
        <w:rPr>
          <w:rFonts w:hint="eastAsia"/>
          <w:color w:val="000000"/>
        </w:rPr>
        <w:t>廠商</w:t>
      </w:r>
      <w:r>
        <w:rPr>
          <w:rFonts w:hint="eastAsia"/>
          <w:color w:val="000000"/>
        </w:rPr>
        <w:t>分別為</w:t>
      </w:r>
      <w:r w:rsidRPr="002F7108">
        <w:rPr>
          <w:rFonts w:hint="eastAsia"/>
          <w:color w:val="000000"/>
        </w:rPr>
        <w:t>大信工程股份有限公司及東丕營造股份有限公司</w:t>
      </w:r>
      <w:r>
        <w:rPr>
          <w:rFonts w:hint="eastAsia"/>
          <w:color w:val="000000"/>
        </w:rPr>
        <w:t>，並於</w:t>
      </w:r>
      <w:r w:rsidRPr="002F7108">
        <w:rPr>
          <w:rFonts w:hint="eastAsia"/>
          <w:color w:val="000000"/>
        </w:rPr>
        <w:t>98年3月4日及97年7月19日驗收合格</w:t>
      </w:r>
      <w:r>
        <w:rPr>
          <w:rFonts w:hint="eastAsia"/>
          <w:color w:val="000000"/>
        </w:rPr>
        <w:t>，即因廠商使用</w:t>
      </w:r>
      <w:r w:rsidRPr="00DD04AA">
        <w:rPr>
          <w:rFonts w:hint="eastAsia"/>
          <w:color w:val="000000"/>
        </w:rPr>
        <w:t>鋼爐碴</w:t>
      </w:r>
      <w:r>
        <w:rPr>
          <w:rFonts w:hint="eastAsia"/>
          <w:color w:val="000000"/>
        </w:rPr>
        <w:t>作為</w:t>
      </w:r>
      <w:r w:rsidRPr="00DD04AA">
        <w:rPr>
          <w:rFonts w:hint="eastAsia"/>
          <w:color w:val="000000"/>
        </w:rPr>
        <w:t>級配粒料底層</w:t>
      </w:r>
      <w:r>
        <w:rPr>
          <w:rFonts w:hint="eastAsia"/>
          <w:color w:val="000000"/>
        </w:rPr>
        <w:t>，引發部分</w:t>
      </w:r>
      <w:r w:rsidRPr="002F7108">
        <w:rPr>
          <w:rFonts w:hint="eastAsia"/>
          <w:color w:val="000000"/>
        </w:rPr>
        <w:t>路面不平</w:t>
      </w:r>
      <w:r>
        <w:rPr>
          <w:rFonts w:hint="eastAsia"/>
          <w:color w:val="000000"/>
        </w:rPr>
        <w:t>整之</w:t>
      </w:r>
      <w:r>
        <w:rPr>
          <w:rFonts w:hint="eastAsia"/>
          <w:color w:val="000000" w:themeColor="text1"/>
        </w:rPr>
        <w:t>履約爭議。然查級配底層之材料通常採自河川粒料，礫石加以篩配成「天然碎石級配」，施作於道路底層，因近代煉鋼廠產出爐碴(石)副產物，具有耐磨、高硬度及高抗滑之特性，產生「爐碴軋製」之碎石級配粒料，惟其種類及成分複雜，使用於道路工程之路面鋪設，又涉及瀝青混凝土路面之構造及厚度、配比設計等應注意事項。易言之，瀝青混凝土道路工程於設計之初即應針對天然碎石級配與爐碴軋製級配粒料之差異、施工檢驗之不同而周詳考慮，並應充分瞭解爐碴之特性及相關國家規範之定義、適用範圍及膨脹或環境相容性之要求。</w:t>
      </w:r>
    </w:p>
    <w:p w:rsidR="00F92E86" w:rsidRPr="00AC7272" w:rsidRDefault="00F92E86" w:rsidP="00F92E86">
      <w:pPr>
        <w:pStyle w:val="3"/>
        <w:numPr>
          <w:ilvl w:val="2"/>
          <w:numId w:val="26"/>
        </w:numPr>
        <w:rPr>
          <w:color w:val="000000" w:themeColor="text1"/>
        </w:rPr>
      </w:pPr>
      <w:r w:rsidRPr="00AC7272">
        <w:rPr>
          <w:rFonts w:hint="eastAsia"/>
          <w:color w:val="000000" w:themeColor="text1"/>
        </w:rPr>
        <w:t>又查</w:t>
      </w:r>
      <w:r w:rsidRPr="00AC7272">
        <w:rPr>
          <w:rFonts w:hAnsi="標楷體" w:hint="eastAsia"/>
        </w:rPr>
        <w:t>設計監造之台聯顧問公司於設計階段因未發覺公共工程委員會施工綱要規範第02726章「級配粒料底層」已於</w:t>
      </w:r>
      <w:smartTag w:uri="urn:schemas-microsoft-com:office:smarttags" w:element="chsdate">
        <w:smartTagPr>
          <w:attr w:name="IsROCDate" w:val="False"/>
          <w:attr w:name="IsLunarDate" w:val="False"/>
          <w:attr w:name="Day" w:val="2"/>
          <w:attr w:name="Month" w:val="12"/>
          <w:attr w:name="Year" w:val="1992"/>
        </w:smartTagPr>
        <w:r w:rsidRPr="00AC7272">
          <w:rPr>
            <w:rFonts w:hAnsi="標楷體" w:hint="eastAsia"/>
          </w:rPr>
          <w:t>92年12月2日</w:t>
        </w:r>
      </w:smartTag>
      <w:r w:rsidRPr="00AC7272">
        <w:rPr>
          <w:rFonts w:hAnsi="標楷體" w:hint="eastAsia"/>
        </w:rPr>
        <w:t>頒布V3.0版，仍援用</w:t>
      </w:r>
      <w:smartTag w:uri="urn:schemas-microsoft-com:office:smarttags" w:element="chsdate">
        <w:smartTagPr>
          <w:attr w:name="IsROCDate" w:val="False"/>
          <w:attr w:name="IsLunarDate" w:val="False"/>
          <w:attr w:name="Day" w:val="27"/>
          <w:attr w:name="Month" w:val="3"/>
          <w:attr w:name="Year" w:val="1990"/>
        </w:smartTagPr>
        <w:r w:rsidRPr="00AC7272">
          <w:rPr>
            <w:rFonts w:hint="eastAsia"/>
            <w:color w:val="000000" w:themeColor="text1"/>
          </w:rPr>
          <w:t>90</w:t>
        </w:r>
        <w:r w:rsidRPr="00AC7272">
          <w:rPr>
            <w:rFonts w:hAnsi="標楷體" w:hint="eastAsia"/>
          </w:rPr>
          <w:t>年3月27日</w:t>
        </w:r>
      </w:smartTag>
      <w:r w:rsidRPr="00AC7272">
        <w:rPr>
          <w:rFonts w:hAnsi="標楷體" w:hint="eastAsia"/>
        </w:rPr>
        <w:t>頒布之V2.0版作為施工規範依據，V2.0版本僅列</w:t>
      </w:r>
      <w:r w:rsidRPr="00AC7272">
        <w:rPr>
          <w:rFonts w:hint="eastAsia"/>
          <w:color w:val="000000" w:themeColor="text1"/>
        </w:rPr>
        <w:t>「CNS 6298 A1026道路用碎石」及「CNS 11827 A2203道路用高爐爐碴」等2種</w:t>
      </w:r>
      <w:r w:rsidRPr="00AC7272">
        <w:rPr>
          <w:rFonts w:hAnsi="標楷體" w:hint="eastAsia"/>
        </w:rPr>
        <w:t>準則，致代辦專案管理未於設計階段即協助審查相關設計圖說，或未審查技術服務廠商所提之主要建材或設備。再查施工階段</w:t>
      </w:r>
      <w:r w:rsidRPr="00AC7272">
        <w:rPr>
          <w:rFonts w:hint="eastAsia"/>
          <w:color w:val="000000" w:themeColor="text1"/>
        </w:rPr>
        <w:t>營建署</w:t>
      </w:r>
      <w:r w:rsidR="009F1396" w:rsidRPr="00AB2080">
        <w:rPr>
          <w:rFonts w:hint="eastAsia"/>
          <w:color w:val="000000" w:themeColor="text1"/>
        </w:rPr>
        <w:t>南區工程處</w:t>
      </w:r>
      <w:r w:rsidRPr="00AC7272">
        <w:rPr>
          <w:rFonts w:hint="eastAsia"/>
          <w:color w:val="000000" w:themeColor="text1"/>
        </w:rPr>
        <w:t>新營工務所97年12月12日電話徵詢「工程契約文件未含CNS 14602道路用鋼爐碴」一節，台聯顧問公司當日備忘錄記載略以：「按本工程契約設計圖(圖號FT-02)之一般說明第1點規定略為，『路基填方鋪壓，依據本工程施工規範或</w:t>
      </w:r>
      <w:r w:rsidRPr="00AC7272">
        <w:rPr>
          <w:rFonts w:hint="eastAsia"/>
          <w:color w:val="000000" w:themeColor="text1"/>
        </w:rPr>
        <w:lastRenderedPageBreak/>
        <w:t>公共工程委員會相關施工規範辦理……。』本工程於路基底層級配鋪壓施工期間(約95年12月至96年3月)，當時之行政院公共工程委員會</w:t>
      </w:r>
      <w:r>
        <w:rPr>
          <w:rFonts w:hint="eastAsia"/>
          <w:color w:val="000000" w:themeColor="text1"/>
        </w:rPr>
        <w:t>(下稱</w:t>
      </w:r>
      <w:r w:rsidRPr="00AC7272">
        <w:rPr>
          <w:rFonts w:hint="eastAsia"/>
          <w:color w:val="000000" w:themeColor="text1"/>
        </w:rPr>
        <w:t>工程會</w:t>
      </w:r>
      <w:r>
        <w:rPr>
          <w:rFonts w:hint="eastAsia"/>
          <w:color w:val="000000" w:themeColor="text1"/>
        </w:rPr>
        <w:t>)</w:t>
      </w:r>
      <w:r w:rsidRPr="00AC7272">
        <w:rPr>
          <w:rFonts w:hint="eastAsia"/>
          <w:color w:val="000000" w:themeColor="text1"/>
        </w:rPr>
        <w:t>最新修定相關施工規範(第02726章『級配料料底層』V3.0版)已將『CNS14602道路用鋼爐碴』列入該章節第1.4節相關準則之一。」綜上，營建署辦理臺南科學工業園區特定區道路興闢工程，未依專案管理之特性及實際需要，</w:t>
      </w:r>
      <w:r w:rsidR="00F14F67">
        <w:rPr>
          <w:rFonts w:hint="eastAsia"/>
          <w:color w:val="000000" w:themeColor="text1"/>
        </w:rPr>
        <w:t>而</w:t>
      </w:r>
      <w:r w:rsidRPr="00AC7272">
        <w:rPr>
          <w:rFonts w:hint="eastAsia"/>
          <w:color w:val="000000" w:themeColor="text1"/>
        </w:rPr>
        <w:t>未修正協議書或</w:t>
      </w:r>
      <w:r w:rsidRPr="00AC7272">
        <w:rPr>
          <w:rFonts w:hint="eastAsia"/>
          <w:color w:val="000000" w:themeColor="text1"/>
          <w:szCs w:val="48"/>
        </w:rPr>
        <w:t>契約範本</w:t>
      </w:r>
      <w:r w:rsidRPr="00AC7272">
        <w:rPr>
          <w:rFonts w:hint="eastAsia"/>
          <w:color w:val="000000" w:themeColor="text1"/>
        </w:rPr>
        <w:t>之要項及內容，即與前臺南縣政府</w:t>
      </w:r>
      <w:r w:rsidR="00202A76">
        <w:rPr>
          <w:rFonts w:hint="eastAsia"/>
          <w:color w:val="000000" w:themeColor="text1"/>
        </w:rPr>
        <w:t>簽訂</w:t>
      </w:r>
      <w:r w:rsidRPr="00AC7272">
        <w:rPr>
          <w:rFonts w:hint="eastAsia"/>
          <w:color w:val="000000" w:themeColor="text1"/>
        </w:rPr>
        <w:t>代辦協議書，造成設計審查與施工監造之督導明顯存有落差，洵有疏失。</w:t>
      </w:r>
    </w:p>
    <w:p w:rsidR="00F92E86" w:rsidRPr="000B5215" w:rsidRDefault="00F92E86" w:rsidP="00F92E86">
      <w:pPr>
        <w:pStyle w:val="2"/>
        <w:numPr>
          <w:ilvl w:val="1"/>
          <w:numId w:val="1"/>
        </w:numPr>
        <w:rPr>
          <w:color w:val="000000" w:themeColor="text1"/>
        </w:rPr>
      </w:pPr>
      <w:r w:rsidRPr="000B5215">
        <w:rPr>
          <w:rFonts w:hint="eastAsia"/>
        </w:rPr>
        <w:t>營建署對於承包廠商使用非屬契約規範所允許之鋼爐碴級配粒料底層，未確實依代辦協議書規定督導監造單位覈實審查，且</w:t>
      </w:r>
      <w:r w:rsidRPr="009F1396">
        <w:rPr>
          <w:rFonts w:hint="eastAsia"/>
        </w:rPr>
        <w:t>廠商實際使用「轉爐碴」亦與核定之「電弧爐碴」不同，</w:t>
      </w:r>
      <w:r w:rsidRPr="000B5215">
        <w:rPr>
          <w:rFonts w:hint="eastAsia"/>
        </w:rPr>
        <w:t>致完工後路面隆起漲裂，影響行車安全，斲傷政府形象</w:t>
      </w:r>
      <w:r w:rsidRPr="000B5215">
        <w:rPr>
          <w:rFonts w:hint="eastAsia"/>
          <w:color w:val="000000" w:themeColor="text1"/>
        </w:rPr>
        <w:t>。</w:t>
      </w:r>
    </w:p>
    <w:p w:rsidR="00F92E86" w:rsidRPr="00E066A8" w:rsidRDefault="00F92E86" w:rsidP="00F92E86">
      <w:pPr>
        <w:pStyle w:val="3"/>
        <w:numPr>
          <w:ilvl w:val="2"/>
          <w:numId w:val="1"/>
        </w:numPr>
        <w:rPr>
          <w:color w:val="000000" w:themeColor="text1"/>
        </w:rPr>
      </w:pPr>
      <w:r>
        <w:rPr>
          <w:rFonts w:hint="eastAsia"/>
          <w:color w:val="000000" w:themeColor="text1"/>
        </w:rPr>
        <w:t>本案工程</w:t>
      </w:r>
      <w:r w:rsidRPr="00E066A8">
        <w:rPr>
          <w:rFonts w:hint="eastAsia"/>
          <w:color w:val="000000" w:themeColor="text1"/>
        </w:rPr>
        <w:t>審計部</w:t>
      </w:r>
      <w:r>
        <w:rPr>
          <w:rFonts w:hint="eastAsia"/>
          <w:color w:val="000000" w:themeColor="text1"/>
        </w:rPr>
        <w:t>稽察</w:t>
      </w:r>
      <w:r w:rsidRPr="00E066A8">
        <w:rPr>
          <w:rFonts w:hint="eastAsia"/>
          <w:color w:val="000000" w:themeColor="text1"/>
        </w:rPr>
        <w:t>結果，</w:t>
      </w:r>
      <w:r w:rsidRPr="00AB2080">
        <w:rPr>
          <w:rFonts w:hint="eastAsia"/>
          <w:color w:val="000000" w:themeColor="text1"/>
        </w:rPr>
        <w:t>發現營建署及臺南市政府辦理該等工程執行情形，核有2項未盡職責及效能過低情事，依審計法第69條規定，</w:t>
      </w:r>
      <w:r w:rsidRPr="00AB2080">
        <w:rPr>
          <w:color w:val="000000" w:themeColor="text1"/>
        </w:rPr>
        <w:t>除通知其上級機關長官外，並</w:t>
      </w:r>
      <w:r w:rsidRPr="00AB2080">
        <w:rPr>
          <w:rFonts w:hint="eastAsia"/>
          <w:color w:val="000000" w:themeColor="text1"/>
        </w:rPr>
        <w:t>函</w:t>
      </w:r>
      <w:r w:rsidRPr="00AB2080">
        <w:rPr>
          <w:color w:val="000000" w:themeColor="text1"/>
        </w:rPr>
        <w:t>報</w:t>
      </w:r>
      <w:r w:rsidRPr="00AB2080">
        <w:rPr>
          <w:rFonts w:hint="eastAsia"/>
          <w:color w:val="000000" w:themeColor="text1"/>
        </w:rPr>
        <w:t>本院處理。臺南市政府部分於103年1月22日函知臺南市市長，該府於103年9月1日研提改善措施予審計部臺南市審計處，已獲致具體回應，核其處理尚屬允當</w:t>
      </w:r>
      <w:r>
        <w:rPr>
          <w:rFonts w:hint="eastAsia"/>
          <w:color w:val="000000" w:themeColor="text1"/>
        </w:rPr>
        <w:t>。</w:t>
      </w:r>
      <w:r w:rsidRPr="00AB2080">
        <w:rPr>
          <w:rFonts w:hint="eastAsia"/>
          <w:color w:val="000000" w:themeColor="text1"/>
        </w:rPr>
        <w:t>營建署部分於103年2月7日函請內政部部長查明妥處，嗣經</w:t>
      </w:r>
      <w:r>
        <w:rPr>
          <w:rFonts w:hint="eastAsia"/>
          <w:color w:val="000000" w:themeColor="text1"/>
        </w:rPr>
        <w:t>營建署代辦內政部函稿，分別</w:t>
      </w:r>
      <w:r w:rsidRPr="00AB2080">
        <w:rPr>
          <w:rFonts w:hint="eastAsia"/>
          <w:color w:val="000000" w:themeColor="text1"/>
        </w:rPr>
        <w:t>於103年5月22日、7月11日、10月15日、104年12月25日及105年5月27日函送</w:t>
      </w:r>
      <w:r>
        <w:rPr>
          <w:rFonts w:hint="eastAsia"/>
          <w:color w:val="000000" w:themeColor="text1"/>
        </w:rPr>
        <w:t>該</w:t>
      </w:r>
      <w:r w:rsidRPr="00AB2080">
        <w:rPr>
          <w:rFonts w:hint="eastAsia"/>
          <w:color w:val="000000" w:themeColor="text1"/>
        </w:rPr>
        <w:t>署改善措施說明資料</w:t>
      </w:r>
      <w:r w:rsidRPr="00C41FA4">
        <w:rPr>
          <w:rFonts w:hint="eastAsia"/>
          <w:color w:val="000000" w:themeColor="text1"/>
        </w:rPr>
        <w:t>，仍有未為負責</w:t>
      </w:r>
      <w:r>
        <w:rPr>
          <w:rFonts w:hint="eastAsia"/>
          <w:color w:val="000000" w:themeColor="text1"/>
        </w:rPr>
        <w:t>之</w:t>
      </w:r>
      <w:r w:rsidRPr="00C41FA4">
        <w:rPr>
          <w:rFonts w:hint="eastAsia"/>
          <w:color w:val="000000" w:themeColor="text1"/>
        </w:rPr>
        <w:t>答</w:t>
      </w:r>
      <w:r w:rsidR="00F14F67">
        <w:rPr>
          <w:rFonts w:hint="eastAsia"/>
          <w:color w:val="000000" w:themeColor="text1"/>
        </w:rPr>
        <w:t>復</w:t>
      </w:r>
      <w:r>
        <w:rPr>
          <w:rFonts w:hint="eastAsia"/>
          <w:color w:val="000000" w:themeColor="text1"/>
        </w:rPr>
        <w:t>。</w:t>
      </w:r>
    </w:p>
    <w:p w:rsidR="00F92E86" w:rsidRPr="00E066A8" w:rsidRDefault="00F92E86" w:rsidP="00F92E86">
      <w:pPr>
        <w:pStyle w:val="3"/>
        <w:numPr>
          <w:ilvl w:val="2"/>
          <w:numId w:val="1"/>
        </w:numPr>
      </w:pPr>
      <w:r w:rsidRPr="00E066A8">
        <w:rPr>
          <w:rFonts w:hint="eastAsia"/>
        </w:rPr>
        <w:t>營建署代辦西拉雅大道及目加溜灣大道等2件道路工程，承商所使用鋼爐碴級配粒料底層，非屬契約規範所允許之材料，該署未確實依代辦協議書規定</w:t>
      </w:r>
      <w:r w:rsidRPr="00E066A8">
        <w:rPr>
          <w:rFonts w:hint="eastAsia"/>
        </w:rPr>
        <w:lastRenderedPageBreak/>
        <w:t>督導監造單位覈實審查</w:t>
      </w:r>
      <w:r>
        <w:rPr>
          <w:rFonts w:hint="eastAsia"/>
        </w:rPr>
        <w:t>。</w:t>
      </w:r>
      <w:r w:rsidRPr="00E066A8">
        <w:rPr>
          <w:rFonts w:hint="eastAsia"/>
        </w:rPr>
        <w:t>上開2道路工程</w:t>
      </w:r>
      <w:r>
        <w:rPr>
          <w:rFonts w:hint="eastAsia"/>
        </w:rPr>
        <w:t>驗收完工後</w:t>
      </w:r>
      <w:r w:rsidRPr="00E066A8">
        <w:rPr>
          <w:rFonts w:hint="eastAsia"/>
        </w:rPr>
        <w:t>隆起漲裂，經臺南市政府委託臺灣省土木技師公會鑑定結果：確認現場施工所採用之級配粒料底層材料為轉爐渣(slag，部分文獻譯為爐石，CNS規範用「碴」)軋製之碎石級配料，該公會另指出依據國內爐渣產製機構長年以來針對轉爐渣所作之研究案資料顯示，將轉爐渣應用於道路基、底層時，即使施工前檢測其膨脹率均小於1.5</w:t>
      </w:r>
      <w:r>
        <w:rPr>
          <w:rFonts w:hint="eastAsia"/>
        </w:rPr>
        <w:t>%</w:t>
      </w:r>
      <w:r w:rsidRPr="00E066A8">
        <w:rPr>
          <w:rFonts w:hint="eastAsia"/>
        </w:rPr>
        <w:t>，但完工後</w:t>
      </w:r>
      <w:r>
        <w:rPr>
          <w:rFonts w:hint="eastAsia"/>
        </w:rPr>
        <w:t>2</w:t>
      </w:r>
      <w:r w:rsidRPr="00E066A8">
        <w:rPr>
          <w:rFonts w:hint="eastAsia"/>
        </w:rPr>
        <w:t>年仍有3.0</w:t>
      </w:r>
      <w:r>
        <w:rPr>
          <w:rFonts w:hint="eastAsia"/>
        </w:rPr>
        <w:t>%</w:t>
      </w:r>
      <w:r w:rsidRPr="00E066A8">
        <w:rPr>
          <w:rFonts w:hint="eastAsia"/>
        </w:rPr>
        <w:t>以上之膨脹性，若再考量溫度效應，其膨脹率更高達3.2</w:t>
      </w:r>
      <w:r>
        <w:rPr>
          <w:rFonts w:hint="eastAsia"/>
        </w:rPr>
        <w:t>%</w:t>
      </w:r>
      <w:r w:rsidRPr="00E066A8">
        <w:rPr>
          <w:rFonts w:hint="eastAsia"/>
        </w:rPr>
        <w:t>~13.6</w:t>
      </w:r>
      <w:r>
        <w:rPr>
          <w:rFonts w:hint="eastAsia"/>
        </w:rPr>
        <w:t>%</w:t>
      </w:r>
      <w:r w:rsidRPr="00E066A8">
        <w:rPr>
          <w:rFonts w:hint="eastAsia"/>
        </w:rPr>
        <w:t>；該等工程路面隆起原因應為工程所採用之60</w:t>
      </w:r>
      <w:r>
        <w:rPr>
          <w:rFonts w:hint="eastAsia"/>
        </w:rPr>
        <w:t>公分</w:t>
      </w:r>
      <w:r w:rsidRPr="00E066A8">
        <w:rPr>
          <w:rFonts w:hint="eastAsia"/>
        </w:rPr>
        <w:t>級配粒料底層為轉爐渣軋製之碎石級配料，其粒料吸水後會膨脹之特性乃是造成標的物部分瀝青混凝土鋪面呈發糕狀隆起漲裂之原因[按：「CNS 14602 A2279道路用鋼爐碴」1.適用範圍之備考1.，鋼爐碴為煉鋼過程中依製造方法所用設備之不同，分為轉爐爐碴及電弧爐爐碴，即轉爐碴屬鋼爐碴之一種]。經統計</w:t>
      </w:r>
      <w:r>
        <w:rPr>
          <w:rFonts w:hint="eastAsia"/>
        </w:rPr>
        <w:t>西拉雅</w:t>
      </w:r>
      <w:r w:rsidRPr="00E066A8">
        <w:rPr>
          <w:rFonts w:hint="eastAsia"/>
        </w:rPr>
        <w:t>工程，契約內「碎石級配基層」項目數量55,690立方公尺，價金2,958萬餘元；</w:t>
      </w:r>
      <w:r>
        <w:rPr>
          <w:rFonts w:hint="eastAsia"/>
        </w:rPr>
        <w:t>目加溜灣</w:t>
      </w:r>
      <w:r w:rsidRPr="00E066A8">
        <w:rPr>
          <w:rFonts w:hint="eastAsia"/>
        </w:rPr>
        <w:t>工程，該項目契約數量32,998立方公尺，價金1,834萬餘元，材料品質與契約規定不符數量達88,688立方公尺，價金4,793萬餘元；如再加計該2工程碎石級配上方已隆起漲裂之瀝青混凝土面層(包括鋪設透層、鋪設黏層及密級配</w:t>
      </w:r>
      <w:r w:rsidR="001645FC">
        <w:rPr>
          <w:rFonts w:hint="eastAsia"/>
        </w:rPr>
        <w:t>瀝青</w:t>
      </w:r>
      <w:r w:rsidRPr="00E066A8">
        <w:rPr>
          <w:rFonts w:hint="eastAsia"/>
        </w:rPr>
        <w:t>混凝土等項目)金額5,666萬餘元，合計金額達1億459萬餘元。詳如表</w:t>
      </w:r>
      <w:r>
        <w:rPr>
          <w:rFonts w:hint="eastAsia"/>
        </w:rPr>
        <w:t>1</w:t>
      </w:r>
      <w:r w:rsidRPr="00E066A8">
        <w:rPr>
          <w:rFonts w:hint="eastAsia"/>
        </w:rPr>
        <w:t>所列。</w:t>
      </w:r>
    </w:p>
    <w:p w:rsidR="00F92E86" w:rsidRPr="00E066A8" w:rsidRDefault="00F92E86" w:rsidP="00F92E86">
      <w:pPr>
        <w:pStyle w:val="10"/>
        <w:ind w:left="680" w:firstLine="480"/>
        <w:rPr>
          <w:color w:val="000000" w:themeColor="text1"/>
          <w:sz w:val="22"/>
        </w:rPr>
      </w:pPr>
      <w:r w:rsidRPr="00E066A8">
        <w:rPr>
          <w:rFonts w:hint="eastAsia"/>
          <w:color w:val="000000" w:themeColor="text1"/>
          <w:sz w:val="22"/>
        </w:rPr>
        <w:t>表</w:t>
      </w:r>
      <w:r>
        <w:rPr>
          <w:rFonts w:hint="eastAsia"/>
          <w:color w:val="000000" w:themeColor="text1"/>
          <w:sz w:val="22"/>
        </w:rPr>
        <w:t>1</w:t>
      </w:r>
      <w:r w:rsidRPr="00E066A8">
        <w:rPr>
          <w:rFonts w:hint="eastAsia"/>
          <w:color w:val="000000" w:themeColor="text1"/>
          <w:sz w:val="22"/>
        </w:rPr>
        <w:t xml:space="preserve"> 西拉雅及目加溜灣大道工程級配及瀝青項目金額統計表 </w:t>
      </w:r>
    </w:p>
    <w:tbl>
      <w:tblPr>
        <w:tblW w:w="871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1500"/>
        <w:gridCol w:w="1609"/>
        <w:gridCol w:w="1362"/>
        <w:gridCol w:w="1694"/>
      </w:tblGrid>
      <w:tr w:rsidR="00F92E86" w:rsidTr="009F64B4">
        <w:trPr>
          <w:cantSplit/>
          <w:trHeight w:val="178"/>
          <w:tblHeader/>
        </w:trPr>
        <w:tc>
          <w:tcPr>
            <w:tcW w:w="2551" w:type="dxa"/>
            <w:vMerge w:val="restart"/>
            <w:tcBorders>
              <w:top w:val="single" w:sz="8" w:space="0" w:color="auto"/>
              <w:left w:val="single" w:sz="8" w:space="0" w:color="auto"/>
            </w:tcBorders>
            <w:shd w:val="pct10" w:color="auto" w:fill="auto"/>
            <w:vAlign w:val="center"/>
          </w:tcPr>
          <w:p w:rsidR="00F92E86" w:rsidRPr="000E1AB1" w:rsidRDefault="00F92E86" w:rsidP="009F64B4">
            <w:pPr>
              <w:snapToGrid w:val="0"/>
              <w:spacing w:line="360" w:lineRule="atLeast"/>
              <w:jc w:val="center"/>
              <w:rPr>
                <w:sz w:val="24"/>
                <w:szCs w:val="24"/>
              </w:rPr>
            </w:pPr>
            <w:r w:rsidRPr="000E1AB1">
              <w:rPr>
                <w:rFonts w:hint="eastAsia"/>
                <w:sz w:val="24"/>
                <w:szCs w:val="24"/>
              </w:rPr>
              <w:t>工程項目</w:t>
            </w:r>
          </w:p>
        </w:tc>
        <w:tc>
          <w:tcPr>
            <w:tcW w:w="3109" w:type="dxa"/>
            <w:gridSpan w:val="2"/>
            <w:tcBorders>
              <w:top w:val="single" w:sz="8" w:space="0" w:color="auto"/>
              <w:right w:val="single" w:sz="4" w:space="0" w:color="auto"/>
            </w:tcBorders>
            <w:shd w:val="pct10" w:color="auto" w:fill="auto"/>
            <w:vAlign w:val="center"/>
          </w:tcPr>
          <w:p w:rsidR="00F92E86" w:rsidRPr="000E1AB1" w:rsidRDefault="00F92E86" w:rsidP="009F64B4">
            <w:pPr>
              <w:snapToGrid w:val="0"/>
              <w:spacing w:line="360" w:lineRule="atLeast"/>
              <w:jc w:val="center"/>
              <w:rPr>
                <w:sz w:val="24"/>
                <w:szCs w:val="24"/>
              </w:rPr>
            </w:pPr>
            <w:r w:rsidRPr="000E1AB1">
              <w:rPr>
                <w:rFonts w:hint="eastAsia"/>
                <w:noProof/>
                <w:sz w:val="24"/>
                <w:szCs w:val="24"/>
              </w:rPr>
              <w:t>西拉雅大道</w:t>
            </w:r>
            <w:r w:rsidRPr="000E1AB1">
              <w:rPr>
                <w:rFonts w:hAnsi="標楷體" w:hint="eastAsia"/>
                <w:sz w:val="24"/>
                <w:szCs w:val="24"/>
              </w:rPr>
              <w:t>工程</w:t>
            </w:r>
          </w:p>
        </w:tc>
        <w:tc>
          <w:tcPr>
            <w:tcW w:w="3056" w:type="dxa"/>
            <w:gridSpan w:val="2"/>
            <w:tcBorders>
              <w:top w:val="single" w:sz="8" w:space="0" w:color="auto"/>
              <w:left w:val="single" w:sz="4" w:space="0" w:color="auto"/>
              <w:right w:val="single" w:sz="8" w:space="0" w:color="auto"/>
            </w:tcBorders>
            <w:shd w:val="pct10" w:color="auto" w:fill="auto"/>
            <w:vAlign w:val="center"/>
          </w:tcPr>
          <w:p w:rsidR="00F92E86" w:rsidRPr="000E1AB1" w:rsidRDefault="00F92E86" w:rsidP="009F64B4">
            <w:pPr>
              <w:snapToGrid w:val="0"/>
              <w:spacing w:line="360" w:lineRule="atLeast"/>
              <w:jc w:val="center"/>
              <w:rPr>
                <w:sz w:val="24"/>
                <w:szCs w:val="24"/>
              </w:rPr>
            </w:pPr>
            <w:r w:rsidRPr="000E1AB1">
              <w:rPr>
                <w:rFonts w:hint="eastAsia"/>
                <w:noProof/>
                <w:sz w:val="24"/>
                <w:szCs w:val="24"/>
              </w:rPr>
              <w:t>目加溜灣大道</w:t>
            </w:r>
            <w:r w:rsidRPr="000E1AB1">
              <w:rPr>
                <w:rFonts w:hAnsi="標楷體" w:hint="eastAsia"/>
                <w:sz w:val="24"/>
                <w:szCs w:val="24"/>
              </w:rPr>
              <w:t>工程</w:t>
            </w:r>
          </w:p>
        </w:tc>
      </w:tr>
      <w:tr w:rsidR="00F92E86" w:rsidTr="009F64B4">
        <w:trPr>
          <w:cantSplit/>
          <w:trHeight w:val="332"/>
          <w:tblHeader/>
        </w:trPr>
        <w:tc>
          <w:tcPr>
            <w:tcW w:w="2551" w:type="dxa"/>
            <w:vMerge/>
            <w:tcBorders>
              <w:left w:val="single" w:sz="8" w:space="0" w:color="auto"/>
            </w:tcBorders>
            <w:shd w:val="pct10" w:color="auto" w:fill="auto"/>
            <w:vAlign w:val="center"/>
          </w:tcPr>
          <w:p w:rsidR="00F92E86" w:rsidRPr="000E1AB1" w:rsidRDefault="00F92E86" w:rsidP="009F64B4">
            <w:pPr>
              <w:snapToGrid w:val="0"/>
              <w:spacing w:line="360" w:lineRule="atLeast"/>
              <w:jc w:val="center"/>
              <w:rPr>
                <w:sz w:val="24"/>
                <w:szCs w:val="24"/>
              </w:rPr>
            </w:pPr>
          </w:p>
        </w:tc>
        <w:tc>
          <w:tcPr>
            <w:tcW w:w="1500" w:type="dxa"/>
            <w:tcBorders>
              <w:top w:val="single" w:sz="4" w:space="0" w:color="auto"/>
              <w:right w:val="single" w:sz="4" w:space="0" w:color="auto"/>
            </w:tcBorders>
            <w:shd w:val="pct10" w:color="auto" w:fill="auto"/>
            <w:vAlign w:val="center"/>
          </w:tcPr>
          <w:p w:rsidR="00F92E86" w:rsidRPr="000E1AB1" w:rsidRDefault="00F92E86" w:rsidP="009F64B4">
            <w:pPr>
              <w:snapToGrid w:val="0"/>
              <w:spacing w:line="360" w:lineRule="atLeast"/>
              <w:jc w:val="center"/>
              <w:rPr>
                <w:rFonts w:hAnsi="標楷體"/>
                <w:sz w:val="24"/>
                <w:szCs w:val="24"/>
              </w:rPr>
            </w:pPr>
            <w:r w:rsidRPr="000E1AB1">
              <w:rPr>
                <w:rFonts w:hAnsi="標楷體" w:hint="eastAsia"/>
                <w:sz w:val="24"/>
                <w:szCs w:val="24"/>
              </w:rPr>
              <w:t>數量</w:t>
            </w:r>
          </w:p>
        </w:tc>
        <w:tc>
          <w:tcPr>
            <w:tcW w:w="1609" w:type="dxa"/>
            <w:tcBorders>
              <w:top w:val="single" w:sz="4" w:space="0" w:color="auto"/>
              <w:right w:val="single" w:sz="4" w:space="0" w:color="auto"/>
            </w:tcBorders>
            <w:shd w:val="pct10" w:color="auto" w:fill="auto"/>
            <w:vAlign w:val="center"/>
          </w:tcPr>
          <w:p w:rsidR="00F92E86" w:rsidRPr="000E1AB1" w:rsidRDefault="00F92E86" w:rsidP="009F64B4">
            <w:pPr>
              <w:snapToGrid w:val="0"/>
              <w:spacing w:line="360" w:lineRule="atLeast"/>
              <w:jc w:val="center"/>
              <w:rPr>
                <w:rFonts w:hAnsi="標楷體"/>
                <w:sz w:val="24"/>
                <w:szCs w:val="24"/>
              </w:rPr>
            </w:pPr>
            <w:r w:rsidRPr="000E1AB1">
              <w:rPr>
                <w:rFonts w:hAnsi="標楷體" w:hint="eastAsia"/>
                <w:sz w:val="24"/>
                <w:szCs w:val="24"/>
              </w:rPr>
              <w:t>價金</w:t>
            </w:r>
            <w:r w:rsidRPr="009E1097">
              <w:rPr>
                <w:rFonts w:hAnsi="標楷體" w:hint="eastAsia"/>
                <w:sz w:val="22"/>
                <w:szCs w:val="24"/>
              </w:rPr>
              <w:t>(元)</w:t>
            </w:r>
          </w:p>
        </w:tc>
        <w:tc>
          <w:tcPr>
            <w:tcW w:w="1362" w:type="dxa"/>
            <w:tcBorders>
              <w:top w:val="single" w:sz="4" w:space="0" w:color="auto"/>
              <w:left w:val="single" w:sz="4" w:space="0" w:color="auto"/>
              <w:right w:val="single" w:sz="4" w:space="0" w:color="auto"/>
            </w:tcBorders>
            <w:shd w:val="pct10" w:color="auto" w:fill="auto"/>
            <w:vAlign w:val="center"/>
          </w:tcPr>
          <w:p w:rsidR="00F92E86" w:rsidRPr="000E1AB1" w:rsidRDefault="00F92E86" w:rsidP="009F64B4">
            <w:pPr>
              <w:snapToGrid w:val="0"/>
              <w:spacing w:line="360" w:lineRule="atLeast"/>
              <w:jc w:val="center"/>
              <w:rPr>
                <w:rFonts w:hAnsi="標楷體"/>
                <w:sz w:val="24"/>
                <w:szCs w:val="24"/>
              </w:rPr>
            </w:pPr>
            <w:r w:rsidRPr="000E1AB1">
              <w:rPr>
                <w:rFonts w:hAnsi="標楷體" w:hint="eastAsia"/>
                <w:sz w:val="24"/>
                <w:szCs w:val="24"/>
              </w:rPr>
              <w:t>數量</w:t>
            </w:r>
          </w:p>
        </w:tc>
        <w:tc>
          <w:tcPr>
            <w:tcW w:w="1694" w:type="dxa"/>
            <w:tcBorders>
              <w:top w:val="single" w:sz="4" w:space="0" w:color="auto"/>
              <w:left w:val="single" w:sz="4" w:space="0" w:color="auto"/>
              <w:right w:val="single" w:sz="8" w:space="0" w:color="auto"/>
            </w:tcBorders>
            <w:shd w:val="pct10" w:color="auto" w:fill="auto"/>
            <w:vAlign w:val="center"/>
          </w:tcPr>
          <w:p w:rsidR="00F92E86" w:rsidRPr="000E1AB1" w:rsidRDefault="00F92E86" w:rsidP="009F64B4">
            <w:pPr>
              <w:snapToGrid w:val="0"/>
              <w:spacing w:line="360" w:lineRule="atLeast"/>
              <w:jc w:val="center"/>
              <w:rPr>
                <w:rFonts w:hAnsi="標楷體"/>
                <w:sz w:val="24"/>
                <w:szCs w:val="24"/>
              </w:rPr>
            </w:pPr>
            <w:r w:rsidRPr="000E1AB1">
              <w:rPr>
                <w:rFonts w:hAnsi="標楷體" w:hint="eastAsia"/>
                <w:sz w:val="24"/>
                <w:szCs w:val="24"/>
              </w:rPr>
              <w:t>價金</w:t>
            </w:r>
            <w:r w:rsidRPr="009E1097">
              <w:rPr>
                <w:rFonts w:hAnsi="標楷體" w:hint="eastAsia"/>
                <w:sz w:val="22"/>
                <w:szCs w:val="24"/>
              </w:rPr>
              <w:t>(元)</w:t>
            </w:r>
          </w:p>
        </w:tc>
      </w:tr>
      <w:tr w:rsidR="00F92E86" w:rsidTr="009F64B4">
        <w:trPr>
          <w:trHeight w:val="555"/>
        </w:trPr>
        <w:tc>
          <w:tcPr>
            <w:tcW w:w="2551" w:type="dxa"/>
            <w:tcBorders>
              <w:left w:val="single" w:sz="8" w:space="0" w:color="auto"/>
            </w:tcBorders>
            <w:vAlign w:val="center"/>
          </w:tcPr>
          <w:p w:rsidR="00F92E86" w:rsidRDefault="00F92E86" w:rsidP="00F92E86">
            <w:pPr>
              <w:snapToGrid w:val="0"/>
              <w:spacing w:line="0" w:lineRule="atLeast"/>
              <w:ind w:left="520" w:hangingChars="200" w:hanging="520"/>
              <w:rPr>
                <w:rFonts w:hAnsi="標楷體"/>
                <w:sz w:val="24"/>
                <w:szCs w:val="24"/>
              </w:rPr>
            </w:pPr>
            <w:r w:rsidRPr="00050BF3">
              <w:rPr>
                <w:rFonts w:hAnsi="標楷體" w:hint="eastAsia"/>
                <w:sz w:val="24"/>
                <w:szCs w:val="24"/>
              </w:rPr>
              <w:t>碎石級配基層</w:t>
            </w:r>
          </w:p>
          <w:p w:rsidR="00F92E86" w:rsidRPr="00050BF3" w:rsidRDefault="00F92E86" w:rsidP="00F92E86">
            <w:pPr>
              <w:snapToGrid w:val="0"/>
              <w:spacing w:line="0" w:lineRule="atLeast"/>
              <w:ind w:left="440" w:hangingChars="200" w:hanging="440"/>
              <w:rPr>
                <w:rFonts w:hAnsi="標楷體"/>
                <w:sz w:val="24"/>
                <w:szCs w:val="24"/>
              </w:rPr>
            </w:pPr>
            <w:r w:rsidRPr="00DF5FF0">
              <w:rPr>
                <w:rFonts w:hAnsi="標楷體" w:hint="eastAsia"/>
                <w:sz w:val="20"/>
                <w:szCs w:val="24"/>
              </w:rPr>
              <w:t>(單位：M</w:t>
            </w:r>
            <w:r w:rsidRPr="00DF5FF0">
              <w:rPr>
                <w:rFonts w:hAnsi="標楷體" w:hint="eastAsia"/>
                <w:sz w:val="20"/>
                <w:szCs w:val="24"/>
                <w:vertAlign w:val="superscript"/>
              </w:rPr>
              <w:t>3</w:t>
            </w:r>
            <w:r w:rsidRPr="00DF5FF0">
              <w:rPr>
                <w:rFonts w:hAnsi="標楷體" w:hint="eastAsia"/>
                <w:sz w:val="20"/>
                <w:szCs w:val="24"/>
              </w:rPr>
              <w:t>)</w:t>
            </w:r>
          </w:p>
        </w:tc>
        <w:tc>
          <w:tcPr>
            <w:tcW w:w="1500"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55</w:t>
            </w:r>
            <w:r w:rsidRPr="00050BF3">
              <w:rPr>
                <w:rFonts w:hAnsi="標楷體"/>
                <w:sz w:val="24"/>
                <w:szCs w:val="24"/>
              </w:rPr>
              <w:t>,</w:t>
            </w:r>
            <w:r w:rsidRPr="00050BF3">
              <w:rPr>
                <w:rFonts w:hAnsi="標楷體" w:hint="eastAsia"/>
                <w:sz w:val="24"/>
                <w:szCs w:val="24"/>
              </w:rPr>
              <w:t>690</w:t>
            </w:r>
          </w:p>
        </w:tc>
        <w:tc>
          <w:tcPr>
            <w:tcW w:w="1609"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29</w:t>
            </w:r>
            <w:r w:rsidRPr="00050BF3">
              <w:rPr>
                <w:rFonts w:hAnsi="標楷體"/>
                <w:sz w:val="24"/>
                <w:szCs w:val="24"/>
              </w:rPr>
              <w:t>,</w:t>
            </w:r>
            <w:r w:rsidRPr="00050BF3">
              <w:rPr>
                <w:rFonts w:hAnsi="標楷體" w:hint="eastAsia"/>
                <w:sz w:val="24"/>
                <w:szCs w:val="24"/>
              </w:rPr>
              <w:t>588</w:t>
            </w:r>
            <w:r w:rsidRPr="00050BF3">
              <w:rPr>
                <w:rFonts w:hAnsi="標楷體"/>
                <w:sz w:val="24"/>
                <w:szCs w:val="24"/>
              </w:rPr>
              <w:t>,</w:t>
            </w:r>
            <w:r w:rsidRPr="00050BF3">
              <w:rPr>
                <w:rFonts w:hAnsi="標楷體" w:hint="eastAsia"/>
                <w:sz w:val="24"/>
                <w:szCs w:val="24"/>
              </w:rPr>
              <w:t>097</w:t>
            </w:r>
          </w:p>
        </w:tc>
        <w:tc>
          <w:tcPr>
            <w:tcW w:w="1362" w:type="dxa"/>
            <w:tcBorders>
              <w:left w:val="single" w:sz="4" w:space="0" w:color="auto"/>
              <w:right w:val="single" w:sz="4"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32</w:t>
            </w:r>
            <w:r w:rsidRPr="00050BF3">
              <w:rPr>
                <w:rFonts w:hAnsi="標楷體"/>
                <w:sz w:val="24"/>
                <w:szCs w:val="24"/>
              </w:rPr>
              <w:t>,</w:t>
            </w:r>
            <w:r w:rsidRPr="00050BF3">
              <w:rPr>
                <w:rFonts w:hAnsi="標楷體" w:hint="eastAsia"/>
                <w:sz w:val="24"/>
                <w:szCs w:val="24"/>
              </w:rPr>
              <w:t>998</w:t>
            </w:r>
          </w:p>
        </w:tc>
        <w:tc>
          <w:tcPr>
            <w:tcW w:w="1694" w:type="dxa"/>
            <w:tcBorders>
              <w:left w:val="single" w:sz="4" w:space="0" w:color="auto"/>
              <w:right w:val="single" w:sz="8"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18</w:t>
            </w:r>
            <w:r w:rsidRPr="00050BF3">
              <w:rPr>
                <w:rFonts w:hAnsi="標楷體"/>
                <w:sz w:val="24"/>
                <w:szCs w:val="24"/>
              </w:rPr>
              <w:t>,</w:t>
            </w:r>
            <w:r w:rsidRPr="00050BF3">
              <w:rPr>
                <w:rFonts w:hAnsi="標楷體" w:hint="eastAsia"/>
                <w:sz w:val="24"/>
                <w:szCs w:val="24"/>
              </w:rPr>
              <w:t>345</w:t>
            </w:r>
            <w:r w:rsidRPr="00050BF3">
              <w:rPr>
                <w:rFonts w:hAnsi="標楷體"/>
                <w:sz w:val="24"/>
                <w:szCs w:val="24"/>
              </w:rPr>
              <w:t>,</w:t>
            </w:r>
            <w:r w:rsidRPr="00050BF3">
              <w:rPr>
                <w:rFonts w:hAnsi="標楷體" w:hint="eastAsia"/>
                <w:sz w:val="24"/>
                <w:szCs w:val="24"/>
              </w:rPr>
              <w:t>238</w:t>
            </w:r>
          </w:p>
        </w:tc>
      </w:tr>
      <w:tr w:rsidR="00F92E86" w:rsidTr="009F64B4">
        <w:trPr>
          <w:trHeight w:val="555"/>
        </w:trPr>
        <w:tc>
          <w:tcPr>
            <w:tcW w:w="2551" w:type="dxa"/>
            <w:tcBorders>
              <w:left w:val="single" w:sz="8" w:space="0" w:color="auto"/>
            </w:tcBorders>
            <w:vAlign w:val="center"/>
          </w:tcPr>
          <w:p w:rsidR="00F92E86" w:rsidRPr="00050BF3" w:rsidRDefault="00F92E86" w:rsidP="00F92E86">
            <w:pPr>
              <w:snapToGrid w:val="0"/>
              <w:spacing w:line="0" w:lineRule="atLeast"/>
              <w:ind w:left="520" w:hangingChars="200" w:hanging="520"/>
              <w:rPr>
                <w:rFonts w:hAnsi="標楷體"/>
                <w:sz w:val="24"/>
                <w:szCs w:val="24"/>
              </w:rPr>
            </w:pPr>
            <w:r w:rsidRPr="00050BF3">
              <w:rPr>
                <w:rFonts w:hAnsi="標楷體" w:hint="eastAsia"/>
                <w:sz w:val="24"/>
                <w:szCs w:val="24"/>
              </w:rPr>
              <w:lastRenderedPageBreak/>
              <w:t>鋪設透層</w:t>
            </w:r>
            <w:r w:rsidRPr="00DF5FF0">
              <w:rPr>
                <w:rFonts w:hAnsi="標楷體" w:hint="eastAsia"/>
                <w:sz w:val="20"/>
                <w:szCs w:val="24"/>
              </w:rPr>
              <w:t>(單位：M</w:t>
            </w:r>
            <w:r w:rsidRPr="00DF5FF0">
              <w:rPr>
                <w:rFonts w:hAnsi="標楷體" w:hint="eastAsia"/>
                <w:sz w:val="20"/>
                <w:szCs w:val="24"/>
                <w:vertAlign w:val="superscript"/>
              </w:rPr>
              <w:t>2</w:t>
            </w:r>
            <w:r w:rsidRPr="00DF5FF0">
              <w:rPr>
                <w:rFonts w:hAnsi="標楷體" w:hint="eastAsia"/>
                <w:sz w:val="20"/>
                <w:szCs w:val="24"/>
              </w:rPr>
              <w:t>)</w:t>
            </w:r>
          </w:p>
        </w:tc>
        <w:tc>
          <w:tcPr>
            <w:tcW w:w="1500"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74</w:t>
            </w:r>
            <w:r w:rsidRPr="00050BF3">
              <w:rPr>
                <w:rFonts w:hAnsi="標楷體"/>
                <w:sz w:val="24"/>
                <w:szCs w:val="24"/>
              </w:rPr>
              <w:t>,</w:t>
            </w:r>
            <w:r w:rsidRPr="00050BF3">
              <w:rPr>
                <w:rFonts w:hAnsi="標楷體" w:hint="eastAsia"/>
                <w:sz w:val="24"/>
                <w:szCs w:val="24"/>
              </w:rPr>
              <w:t>193</w:t>
            </w:r>
          </w:p>
        </w:tc>
        <w:tc>
          <w:tcPr>
            <w:tcW w:w="1609"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637</w:t>
            </w:r>
            <w:r w:rsidRPr="00050BF3">
              <w:rPr>
                <w:rFonts w:hAnsi="標楷體"/>
                <w:sz w:val="24"/>
                <w:szCs w:val="24"/>
              </w:rPr>
              <w:t>,</w:t>
            </w:r>
            <w:r w:rsidRPr="00050BF3">
              <w:rPr>
                <w:rFonts w:hAnsi="標楷體" w:hint="eastAsia"/>
                <w:sz w:val="24"/>
                <w:szCs w:val="24"/>
              </w:rPr>
              <w:t>101</w:t>
            </w:r>
          </w:p>
        </w:tc>
        <w:tc>
          <w:tcPr>
            <w:tcW w:w="1362" w:type="dxa"/>
            <w:tcBorders>
              <w:left w:val="single" w:sz="4" w:space="0" w:color="auto"/>
              <w:right w:val="single" w:sz="4"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54</w:t>
            </w:r>
            <w:r w:rsidRPr="00050BF3">
              <w:rPr>
                <w:rFonts w:hAnsi="標楷體"/>
                <w:sz w:val="24"/>
                <w:szCs w:val="24"/>
              </w:rPr>
              <w:t>,</w:t>
            </w:r>
            <w:r w:rsidRPr="00050BF3">
              <w:rPr>
                <w:rFonts w:hAnsi="標楷體" w:hint="eastAsia"/>
                <w:sz w:val="24"/>
                <w:szCs w:val="24"/>
              </w:rPr>
              <w:t>095</w:t>
            </w:r>
          </w:p>
        </w:tc>
        <w:tc>
          <w:tcPr>
            <w:tcW w:w="1694" w:type="dxa"/>
            <w:tcBorders>
              <w:left w:val="single" w:sz="4" w:space="0" w:color="auto"/>
              <w:right w:val="single" w:sz="8"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637</w:t>
            </w:r>
            <w:r w:rsidRPr="00050BF3">
              <w:rPr>
                <w:rFonts w:hAnsi="標楷體"/>
                <w:sz w:val="24"/>
                <w:szCs w:val="24"/>
              </w:rPr>
              <w:t>,</w:t>
            </w:r>
            <w:r w:rsidRPr="00050BF3">
              <w:rPr>
                <w:rFonts w:hAnsi="標楷體" w:hint="eastAsia"/>
                <w:sz w:val="24"/>
                <w:szCs w:val="24"/>
              </w:rPr>
              <w:t>780</w:t>
            </w:r>
          </w:p>
        </w:tc>
      </w:tr>
      <w:tr w:rsidR="00F92E86" w:rsidTr="009F64B4">
        <w:trPr>
          <w:trHeight w:val="555"/>
        </w:trPr>
        <w:tc>
          <w:tcPr>
            <w:tcW w:w="2551" w:type="dxa"/>
            <w:tcBorders>
              <w:left w:val="single" w:sz="8" w:space="0" w:color="auto"/>
            </w:tcBorders>
            <w:vAlign w:val="center"/>
          </w:tcPr>
          <w:p w:rsidR="00F92E86" w:rsidRPr="00050BF3" w:rsidRDefault="00F92E86" w:rsidP="00F92E86">
            <w:pPr>
              <w:snapToGrid w:val="0"/>
              <w:spacing w:line="0" w:lineRule="atLeast"/>
              <w:ind w:left="520" w:hangingChars="200" w:hanging="520"/>
              <w:rPr>
                <w:rFonts w:hAnsi="標楷體"/>
                <w:sz w:val="24"/>
                <w:szCs w:val="24"/>
              </w:rPr>
            </w:pPr>
            <w:r w:rsidRPr="00050BF3">
              <w:rPr>
                <w:rFonts w:hAnsi="標楷體" w:hint="eastAsia"/>
                <w:sz w:val="24"/>
                <w:szCs w:val="24"/>
              </w:rPr>
              <w:t>鋪設黏層</w:t>
            </w:r>
            <w:r w:rsidRPr="00DF5FF0">
              <w:rPr>
                <w:rFonts w:hAnsi="標楷體" w:hint="eastAsia"/>
                <w:sz w:val="20"/>
                <w:szCs w:val="24"/>
              </w:rPr>
              <w:t>(單位：M</w:t>
            </w:r>
            <w:r w:rsidRPr="00DF5FF0">
              <w:rPr>
                <w:rFonts w:hAnsi="標楷體" w:hint="eastAsia"/>
                <w:sz w:val="20"/>
                <w:szCs w:val="24"/>
                <w:vertAlign w:val="superscript"/>
              </w:rPr>
              <w:t>2</w:t>
            </w:r>
            <w:r w:rsidRPr="00DF5FF0">
              <w:rPr>
                <w:rFonts w:hAnsi="標楷體" w:hint="eastAsia"/>
                <w:sz w:val="20"/>
                <w:szCs w:val="24"/>
              </w:rPr>
              <w:t>)</w:t>
            </w:r>
          </w:p>
        </w:tc>
        <w:tc>
          <w:tcPr>
            <w:tcW w:w="1500"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167</w:t>
            </w:r>
            <w:r w:rsidRPr="00050BF3">
              <w:rPr>
                <w:rFonts w:hAnsi="標楷體"/>
                <w:sz w:val="24"/>
                <w:szCs w:val="24"/>
              </w:rPr>
              <w:t>,</w:t>
            </w:r>
            <w:r w:rsidRPr="00050BF3">
              <w:rPr>
                <w:rFonts w:hAnsi="標楷體" w:hint="eastAsia"/>
                <w:sz w:val="24"/>
                <w:szCs w:val="24"/>
              </w:rPr>
              <w:t>507</w:t>
            </w:r>
          </w:p>
        </w:tc>
        <w:tc>
          <w:tcPr>
            <w:tcW w:w="1609" w:type="dxa"/>
            <w:tcBorders>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1</w:t>
            </w:r>
            <w:r w:rsidRPr="00050BF3">
              <w:rPr>
                <w:rFonts w:hAnsi="標楷體"/>
                <w:sz w:val="24"/>
                <w:szCs w:val="24"/>
              </w:rPr>
              <w:t>,</w:t>
            </w:r>
            <w:r w:rsidRPr="00050BF3">
              <w:rPr>
                <w:rFonts w:hAnsi="標楷體" w:hint="eastAsia"/>
                <w:sz w:val="24"/>
                <w:szCs w:val="24"/>
              </w:rPr>
              <w:t>212</w:t>
            </w:r>
            <w:r w:rsidRPr="00050BF3">
              <w:rPr>
                <w:rFonts w:hAnsi="標楷體"/>
                <w:sz w:val="24"/>
                <w:szCs w:val="24"/>
              </w:rPr>
              <w:t>,</w:t>
            </w:r>
            <w:r w:rsidRPr="00050BF3">
              <w:rPr>
                <w:rFonts w:hAnsi="標楷體" w:hint="eastAsia"/>
                <w:sz w:val="24"/>
                <w:szCs w:val="24"/>
              </w:rPr>
              <w:t>750</w:t>
            </w:r>
          </w:p>
        </w:tc>
        <w:tc>
          <w:tcPr>
            <w:tcW w:w="1362" w:type="dxa"/>
            <w:tcBorders>
              <w:left w:val="single" w:sz="4" w:space="0" w:color="auto"/>
              <w:right w:val="single" w:sz="4"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122</w:t>
            </w:r>
            <w:r w:rsidRPr="00050BF3">
              <w:rPr>
                <w:rFonts w:hAnsi="標楷體"/>
                <w:sz w:val="24"/>
                <w:szCs w:val="24"/>
              </w:rPr>
              <w:t>,</w:t>
            </w:r>
            <w:r w:rsidRPr="00050BF3">
              <w:rPr>
                <w:rFonts w:hAnsi="標楷體" w:hint="eastAsia"/>
                <w:sz w:val="24"/>
                <w:szCs w:val="24"/>
              </w:rPr>
              <w:t>144</w:t>
            </w:r>
          </w:p>
        </w:tc>
        <w:tc>
          <w:tcPr>
            <w:tcW w:w="1694" w:type="dxa"/>
            <w:tcBorders>
              <w:left w:val="single" w:sz="4" w:space="0" w:color="auto"/>
              <w:right w:val="single" w:sz="8"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925</w:t>
            </w:r>
            <w:r w:rsidRPr="00050BF3">
              <w:rPr>
                <w:rFonts w:hAnsi="標楷體"/>
                <w:sz w:val="24"/>
                <w:szCs w:val="24"/>
              </w:rPr>
              <w:t>,</w:t>
            </w:r>
            <w:r w:rsidRPr="00050BF3">
              <w:rPr>
                <w:rFonts w:hAnsi="標楷體" w:hint="eastAsia"/>
                <w:sz w:val="24"/>
                <w:szCs w:val="24"/>
              </w:rPr>
              <w:t>851</w:t>
            </w:r>
          </w:p>
        </w:tc>
      </w:tr>
      <w:tr w:rsidR="00F92E86" w:rsidTr="009F64B4">
        <w:trPr>
          <w:trHeight w:val="555"/>
        </w:trPr>
        <w:tc>
          <w:tcPr>
            <w:tcW w:w="2551" w:type="dxa"/>
            <w:tcBorders>
              <w:left w:val="single" w:sz="8" w:space="0" w:color="auto"/>
              <w:bottom w:val="single" w:sz="8" w:space="0" w:color="auto"/>
            </w:tcBorders>
            <w:vAlign w:val="center"/>
          </w:tcPr>
          <w:p w:rsidR="00F92E86" w:rsidRDefault="00F92E86" w:rsidP="00F92E86">
            <w:pPr>
              <w:snapToGrid w:val="0"/>
              <w:spacing w:line="0" w:lineRule="atLeast"/>
              <w:ind w:left="520" w:hangingChars="200" w:hanging="520"/>
              <w:rPr>
                <w:rFonts w:hAnsi="標楷體"/>
                <w:sz w:val="24"/>
                <w:szCs w:val="24"/>
              </w:rPr>
            </w:pPr>
            <w:r w:rsidRPr="00050BF3">
              <w:rPr>
                <w:rFonts w:hAnsi="標楷體" w:hint="eastAsia"/>
                <w:sz w:val="24"/>
                <w:szCs w:val="24"/>
              </w:rPr>
              <w:t>密級配瀝青混凝土</w:t>
            </w:r>
          </w:p>
          <w:p w:rsidR="00F92E86" w:rsidRPr="00050BF3" w:rsidRDefault="00F92E86" w:rsidP="00F92E86">
            <w:pPr>
              <w:snapToGrid w:val="0"/>
              <w:spacing w:line="0" w:lineRule="atLeast"/>
              <w:ind w:left="440" w:hangingChars="200" w:hanging="440"/>
              <w:rPr>
                <w:rFonts w:hAnsi="標楷體"/>
                <w:sz w:val="24"/>
                <w:szCs w:val="24"/>
              </w:rPr>
            </w:pPr>
            <w:r w:rsidRPr="00DF5FF0">
              <w:rPr>
                <w:rFonts w:hAnsi="標楷體" w:hint="eastAsia"/>
                <w:sz w:val="20"/>
                <w:szCs w:val="24"/>
              </w:rPr>
              <w:t>(單位：T)</w:t>
            </w:r>
          </w:p>
        </w:tc>
        <w:tc>
          <w:tcPr>
            <w:tcW w:w="1500" w:type="dxa"/>
            <w:tcBorders>
              <w:bottom w:val="single" w:sz="8" w:space="0" w:color="auto"/>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28</w:t>
            </w:r>
            <w:r w:rsidRPr="00050BF3">
              <w:rPr>
                <w:rFonts w:hAnsi="標楷體"/>
                <w:sz w:val="24"/>
                <w:szCs w:val="24"/>
              </w:rPr>
              <w:t>,</w:t>
            </w:r>
            <w:r w:rsidRPr="00050BF3">
              <w:rPr>
                <w:rFonts w:hAnsi="標楷體" w:hint="eastAsia"/>
                <w:sz w:val="24"/>
                <w:szCs w:val="24"/>
              </w:rPr>
              <w:t>315</w:t>
            </w:r>
          </w:p>
        </w:tc>
        <w:tc>
          <w:tcPr>
            <w:tcW w:w="1609" w:type="dxa"/>
            <w:tcBorders>
              <w:bottom w:val="single" w:sz="8" w:space="0" w:color="auto"/>
              <w:right w:val="single" w:sz="4" w:space="0" w:color="auto"/>
            </w:tcBorders>
            <w:vAlign w:val="center"/>
          </w:tcPr>
          <w:p w:rsidR="00F92E86" w:rsidRPr="00050BF3" w:rsidRDefault="00F92E86" w:rsidP="00F92E86">
            <w:pPr>
              <w:snapToGrid w:val="0"/>
              <w:spacing w:line="0" w:lineRule="atLeast"/>
              <w:ind w:left="260" w:hangingChars="100" w:hanging="260"/>
              <w:jc w:val="right"/>
              <w:rPr>
                <w:rFonts w:hAnsi="標楷體"/>
                <w:sz w:val="24"/>
                <w:szCs w:val="24"/>
              </w:rPr>
            </w:pPr>
            <w:r w:rsidRPr="00050BF3">
              <w:rPr>
                <w:rFonts w:hAnsi="標楷體" w:hint="eastAsia"/>
                <w:sz w:val="24"/>
                <w:szCs w:val="24"/>
              </w:rPr>
              <w:t>30</w:t>
            </w:r>
            <w:r w:rsidRPr="00050BF3">
              <w:rPr>
                <w:rFonts w:hAnsi="標楷體"/>
                <w:sz w:val="24"/>
                <w:szCs w:val="24"/>
              </w:rPr>
              <w:t>,</w:t>
            </w:r>
            <w:r w:rsidRPr="00050BF3">
              <w:rPr>
                <w:rFonts w:hAnsi="標楷體" w:hint="eastAsia"/>
                <w:sz w:val="24"/>
                <w:szCs w:val="24"/>
              </w:rPr>
              <w:t>773</w:t>
            </w:r>
            <w:r w:rsidRPr="00050BF3">
              <w:rPr>
                <w:rFonts w:hAnsi="標楷體"/>
                <w:sz w:val="24"/>
                <w:szCs w:val="24"/>
              </w:rPr>
              <w:t>,</w:t>
            </w:r>
            <w:r w:rsidRPr="00050BF3">
              <w:rPr>
                <w:rFonts w:hAnsi="標楷體" w:hint="eastAsia"/>
                <w:sz w:val="24"/>
                <w:szCs w:val="24"/>
              </w:rPr>
              <w:t>591</w:t>
            </w:r>
          </w:p>
        </w:tc>
        <w:tc>
          <w:tcPr>
            <w:tcW w:w="1362" w:type="dxa"/>
            <w:tcBorders>
              <w:left w:val="single" w:sz="4" w:space="0" w:color="auto"/>
              <w:bottom w:val="single" w:sz="8" w:space="0" w:color="auto"/>
              <w:right w:val="single" w:sz="4"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19</w:t>
            </w:r>
            <w:r w:rsidRPr="00050BF3">
              <w:rPr>
                <w:rFonts w:hAnsi="標楷體"/>
                <w:sz w:val="24"/>
                <w:szCs w:val="24"/>
              </w:rPr>
              <w:t>,</w:t>
            </w:r>
            <w:r w:rsidRPr="00050BF3">
              <w:rPr>
                <w:rFonts w:hAnsi="標楷體" w:hint="eastAsia"/>
                <w:sz w:val="24"/>
                <w:szCs w:val="24"/>
              </w:rPr>
              <w:t>793</w:t>
            </w:r>
          </w:p>
        </w:tc>
        <w:tc>
          <w:tcPr>
            <w:tcW w:w="1694" w:type="dxa"/>
            <w:tcBorders>
              <w:left w:val="single" w:sz="4" w:space="0" w:color="auto"/>
              <w:bottom w:val="single" w:sz="8" w:space="0" w:color="auto"/>
              <w:right w:val="single" w:sz="8" w:space="0" w:color="auto"/>
            </w:tcBorders>
            <w:vAlign w:val="center"/>
          </w:tcPr>
          <w:p w:rsidR="00F92E86" w:rsidRPr="00050BF3" w:rsidRDefault="00F92E86" w:rsidP="009F64B4">
            <w:pPr>
              <w:snapToGrid w:val="0"/>
              <w:spacing w:line="0" w:lineRule="atLeast"/>
              <w:jc w:val="right"/>
              <w:rPr>
                <w:rFonts w:hAnsi="標楷體"/>
                <w:sz w:val="24"/>
                <w:szCs w:val="24"/>
              </w:rPr>
            </w:pPr>
            <w:r w:rsidRPr="00050BF3">
              <w:rPr>
                <w:rFonts w:hAnsi="標楷體" w:hint="eastAsia"/>
                <w:sz w:val="24"/>
                <w:szCs w:val="24"/>
              </w:rPr>
              <w:t>22</w:t>
            </w:r>
            <w:r w:rsidRPr="00050BF3">
              <w:rPr>
                <w:rFonts w:hAnsi="標楷體"/>
                <w:sz w:val="24"/>
                <w:szCs w:val="24"/>
              </w:rPr>
              <w:t>,</w:t>
            </w:r>
            <w:r w:rsidRPr="00050BF3">
              <w:rPr>
                <w:rFonts w:hAnsi="標楷體" w:hint="eastAsia"/>
                <w:sz w:val="24"/>
                <w:szCs w:val="24"/>
              </w:rPr>
              <w:t>473</w:t>
            </w:r>
            <w:r w:rsidRPr="00050BF3">
              <w:rPr>
                <w:rFonts w:hAnsi="標楷體"/>
                <w:sz w:val="24"/>
                <w:szCs w:val="24"/>
              </w:rPr>
              <w:t>,</w:t>
            </w:r>
            <w:r w:rsidRPr="00050BF3">
              <w:rPr>
                <w:rFonts w:hAnsi="標楷體" w:hint="eastAsia"/>
                <w:sz w:val="24"/>
                <w:szCs w:val="24"/>
              </w:rPr>
              <w:t>693</w:t>
            </w:r>
          </w:p>
        </w:tc>
      </w:tr>
      <w:tr w:rsidR="00F92E86" w:rsidTr="009F64B4">
        <w:trPr>
          <w:trHeight w:val="555"/>
        </w:trPr>
        <w:tc>
          <w:tcPr>
            <w:tcW w:w="2551" w:type="dxa"/>
            <w:tcBorders>
              <w:top w:val="single" w:sz="4" w:space="0" w:color="auto"/>
              <w:left w:val="single" w:sz="8" w:space="0" w:color="auto"/>
              <w:bottom w:val="single" w:sz="8" w:space="0" w:color="auto"/>
              <w:right w:val="single" w:sz="4" w:space="0" w:color="auto"/>
            </w:tcBorders>
            <w:vAlign w:val="center"/>
          </w:tcPr>
          <w:p w:rsidR="00F92E86" w:rsidRPr="00DF5FF0" w:rsidRDefault="00F92E86" w:rsidP="00F92E86">
            <w:pPr>
              <w:snapToGrid w:val="0"/>
              <w:spacing w:line="0" w:lineRule="atLeast"/>
              <w:ind w:left="520" w:hangingChars="200" w:hanging="520"/>
              <w:rPr>
                <w:rFonts w:hAnsi="標楷體"/>
                <w:sz w:val="24"/>
                <w:szCs w:val="24"/>
              </w:rPr>
            </w:pPr>
            <w:r w:rsidRPr="00DF5FF0">
              <w:rPr>
                <w:rFonts w:hAnsi="標楷體" w:hint="eastAsia"/>
                <w:sz w:val="24"/>
                <w:szCs w:val="24"/>
              </w:rPr>
              <w:t>該工程小計</w:t>
            </w:r>
          </w:p>
        </w:tc>
        <w:tc>
          <w:tcPr>
            <w:tcW w:w="1500" w:type="dxa"/>
            <w:tcBorders>
              <w:top w:val="single" w:sz="4" w:space="0" w:color="auto"/>
              <w:left w:val="single" w:sz="4" w:space="0" w:color="auto"/>
              <w:bottom w:val="single" w:sz="8" w:space="0" w:color="auto"/>
              <w:right w:val="single" w:sz="4" w:space="0" w:color="auto"/>
            </w:tcBorders>
            <w:vAlign w:val="center"/>
          </w:tcPr>
          <w:p w:rsidR="00F92E86" w:rsidRPr="00DF5FF0" w:rsidRDefault="00F92E86" w:rsidP="00F92E86">
            <w:pPr>
              <w:snapToGrid w:val="0"/>
              <w:spacing w:line="0" w:lineRule="atLeast"/>
              <w:ind w:left="260" w:hangingChars="100" w:hanging="260"/>
              <w:jc w:val="right"/>
              <w:rPr>
                <w:rFonts w:hAnsi="標楷體"/>
                <w:sz w:val="24"/>
                <w:szCs w:val="24"/>
              </w:rPr>
            </w:pPr>
            <w:r w:rsidRPr="00DF5FF0">
              <w:rPr>
                <w:rFonts w:hAnsi="標楷體" w:hint="eastAsia"/>
                <w:sz w:val="24"/>
                <w:szCs w:val="24"/>
              </w:rPr>
              <w:t>--</w:t>
            </w:r>
          </w:p>
        </w:tc>
        <w:tc>
          <w:tcPr>
            <w:tcW w:w="1609" w:type="dxa"/>
            <w:tcBorders>
              <w:top w:val="single" w:sz="4" w:space="0" w:color="auto"/>
              <w:left w:val="single" w:sz="4" w:space="0" w:color="auto"/>
              <w:bottom w:val="single" w:sz="8" w:space="0" w:color="auto"/>
              <w:right w:val="single" w:sz="4" w:space="0" w:color="auto"/>
            </w:tcBorders>
            <w:vAlign w:val="center"/>
          </w:tcPr>
          <w:p w:rsidR="00F92E86" w:rsidRPr="00DF5FF0" w:rsidRDefault="00F92E86" w:rsidP="00F92E86">
            <w:pPr>
              <w:snapToGrid w:val="0"/>
              <w:spacing w:line="0" w:lineRule="atLeast"/>
              <w:ind w:left="260" w:hangingChars="100" w:hanging="260"/>
              <w:jc w:val="right"/>
              <w:rPr>
                <w:rFonts w:hAnsi="標楷體"/>
                <w:sz w:val="24"/>
                <w:szCs w:val="24"/>
              </w:rPr>
            </w:pPr>
            <w:r w:rsidRPr="00DF5FF0">
              <w:rPr>
                <w:rFonts w:hAnsi="標楷體" w:hint="eastAsia"/>
                <w:sz w:val="24"/>
                <w:szCs w:val="24"/>
              </w:rPr>
              <w:t>62</w:t>
            </w:r>
            <w:r w:rsidRPr="00DF5FF0">
              <w:rPr>
                <w:rFonts w:hAnsi="標楷體"/>
                <w:sz w:val="24"/>
                <w:szCs w:val="24"/>
              </w:rPr>
              <w:t>,</w:t>
            </w:r>
            <w:r w:rsidRPr="00DF5FF0">
              <w:rPr>
                <w:rFonts w:hAnsi="標楷體" w:hint="eastAsia"/>
                <w:sz w:val="24"/>
                <w:szCs w:val="24"/>
              </w:rPr>
              <w:t>211</w:t>
            </w:r>
            <w:r w:rsidRPr="00DF5FF0">
              <w:rPr>
                <w:rFonts w:hAnsi="標楷體"/>
                <w:sz w:val="24"/>
                <w:szCs w:val="24"/>
              </w:rPr>
              <w:t>,</w:t>
            </w:r>
            <w:r w:rsidRPr="00DF5FF0">
              <w:rPr>
                <w:rFonts w:hAnsi="標楷體" w:hint="eastAsia"/>
                <w:sz w:val="24"/>
                <w:szCs w:val="24"/>
              </w:rPr>
              <w:t>539</w:t>
            </w:r>
          </w:p>
        </w:tc>
        <w:tc>
          <w:tcPr>
            <w:tcW w:w="1362" w:type="dxa"/>
            <w:tcBorders>
              <w:top w:val="single" w:sz="4" w:space="0" w:color="auto"/>
              <w:left w:val="single" w:sz="4" w:space="0" w:color="auto"/>
              <w:bottom w:val="single" w:sz="8" w:space="0" w:color="auto"/>
              <w:right w:val="single" w:sz="4" w:space="0" w:color="auto"/>
            </w:tcBorders>
            <w:vAlign w:val="center"/>
          </w:tcPr>
          <w:p w:rsidR="00F92E86" w:rsidRPr="00DF5FF0" w:rsidRDefault="00F92E86" w:rsidP="009F64B4">
            <w:pPr>
              <w:snapToGrid w:val="0"/>
              <w:spacing w:line="0" w:lineRule="atLeast"/>
              <w:jc w:val="right"/>
              <w:rPr>
                <w:rFonts w:hAnsi="標楷體"/>
                <w:sz w:val="24"/>
                <w:szCs w:val="24"/>
              </w:rPr>
            </w:pPr>
            <w:r w:rsidRPr="00DF5FF0">
              <w:rPr>
                <w:rFonts w:hAnsi="標楷體" w:hint="eastAsia"/>
                <w:sz w:val="24"/>
                <w:szCs w:val="24"/>
              </w:rPr>
              <w:t>--</w:t>
            </w:r>
          </w:p>
        </w:tc>
        <w:tc>
          <w:tcPr>
            <w:tcW w:w="1694" w:type="dxa"/>
            <w:tcBorders>
              <w:top w:val="single" w:sz="4" w:space="0" w:color="auto"/>
              <w:left w:val="single" w:sz="4" w:space="0" w:color="auto"/>
              <w:bottom w:val="single" w:sz="8" w:space="0" w:color="auto"/>
              <w:right w:val="single" w:sz="8" w:space="0" w:color="auto"/>
            </w:tcBorders>
            <w:vAlign w:val="center"/>
          </w:tcPr>
          <w:p w:rsidR="00F92E86" w:rsidRPr="00DF5FF0" w:rsidRDefault="00F92E86" w:rsidP="009F64B4">
            <w:pPr>
              <w:snapToGrid w:val="0"/>
              <w:spacing w:line="0" w:lineRule="atLeast"/>
              <w:jc w:val="right"/>
              <w:rPr>
                <w:rFonts w:hAnsi="標楷體"/>
                <w:sz w:val="24"/>
                <w:szCs w:val="24"/>
              </w:rPr>
            </w:pPr>
            <w:r w:rsidRPr="00DF5FF0">
              <w:rPr>
                <w:rFonts w:hAnsi="標楷體" w:hint="eastAsia"/>
                <w:sz w:val="24"/>
                <w:szCs w:val="24"/>
              </w:rPr>
              <w:t>42</w:t>
            </w:r>
            <w:r w:rsidRPr="00DF5FF0">
              <w:rPr>
                <w:rFonts w:hAnsi="標楷體"/>
                <w:sz w:val="24"/>
                <w:szCs w:val="24"/>
              </w:rPr>
              <w:t>,</w:t>
            </w:r>
            <w:r w:rsidRPr="00DF5FF0">
              <w:rPr>
                <w:rFonts w:hAnsi="標楷體" w:hint="eastAsia"/>
                <w:sz w:val="24"/>
                <w:szCs w:val="24"/>
              </w:rPr>
              <w:t>382</w:t>
            </w:r>
            <w:r w:rsidRPr="00DF5FF0">
              <w:rPr>
                <w:rFonts w:hAnsi="標楷體"/>
                <w:sz w:val="24"/>
                <w:szCs w:val="24"/>
              </w:rPr>
              <w:t>,</w:t>
            </w:r>
            <w:r w:rsidRPr="00DF5FF0">
              <w:rPr>
                <w:rFonts w:hAnsi="標楷體" w:hint="eastAsia"/>
                <w:sz w:val="24"/>
                <w:szCs w:val="24"/>
              </w:rPr>
              <w:t>562</w:t>
            </w:r>
          </w:p>
        </w:tc>
      </w:tr>
      <w:tr w:rsidR="00F92E86" w:rsidTr="009F64B4">
        <w:trPr>
          <w:trHeight w:val="404"/>
        </w:trPr>
        <w:tc>
          <w:tcPr>
            <w:tcW w:w="2551" w:type="dxa"/>
            <w:tcBorders>
              <w:left w:val="single" w:sz="8" w:space="0" w:color="auto"/>
            </w:tcBorders>
            <w:vAlign w:val="center"/>
          </w:tcPr>
          <w:p w:rsidR="00F92E86" w:rsidRPr="00050BF3" w:rsidRDefault="00F92E86" w:rsidP="00F92E86">
            <w:pPr>
              <w:snapToGrid w:val="0"/>
              <w:spacing w:line="0" w:lineRule="atLeast"/>
              <w:ind w:left="521" w:hangingChars="200" w:hanging="521"/>
              <w:jc w:val="center"/>
              <w:rPr>
                <w:rFonts w:hAnsi="標楷體"/>
                <w:b/>
                <w:sz w:val="24"/>
                <w:szCs w:val="24"/>
              </w:rPr>
            </w:pPr>
            <w:r w:rsidRPr="00050BF3">
              <w:rPr>
                <w:rFonts w:hAnsi="標楷體" w:hint="eastAsia"/>
                <w:b/>
                <w:sz w:val="24"/>
                <w:szCs w:val="24"/>
              </w:rPr>
              <w:t>合  計</w:t>
            </w:r>
          </w:p>
        </w:tc>
        <w:tc>
          <w:tcPr>
            <w:tcW w:w="6165" w:type="dxa"/>
            <w:gridSpan w:val="4"/>
            <w:tcBorders>
              <w:right w:val="single" w:sz="8" w:space="0" w:color="auto"/>
            </w:tcBorders>
            <w:vAlign w:val="center"/>
          </w:tcPr>
          <w:p w:rsidR="00F92E86" w:rsidRPr="00050BF3" w:rsidRDefault="00F92E86" w:rsidP="009F64B4">
            <w:pPr>
              <w:snapToGrid w:val="0"/>
              <w:spacing w:line="0" w:lineRule="atLeast"/>
              <w:jc w:val="right"/>
              <w:rPr>
                <w:rFonts w:hAnsi="標楷體"/>
                <w:b/>
                <w:sz w:val="24"/>
                <w:szCs w:val="24"/>
              </w:rPr>
            </w:pPr>
            <w:r w:rsidRPr="00050BF3">
              <w:rPr>
                <w:rFonts w:cs="Arial Unicode MS" w:hint="eastAsia"/>
                <w:b/>
                <w:sz w:val="24"/>
                <w:szCs w:val="24"/>
              </w:rPr>
              <w:t>104</w:t>
            </w:r>
            <w:r w:rsidRPr="00050BF3">
              <w:rPr>
                <w:rFonts w:cs="Arial Unicode MS"/>
                <w:b/>
                <w:sz w:val="24"/>
                <w:szCs w:val="24"/>
              </w:rPr>
              <w:t>,</w:t>
            </w:r>
            <w:r w:rsidRPr="00050BF3">
              <w:rPr>
                <w:rFonts w:cs="Arial Unicode MS" w:hint="eastAsia"/>
                <w:b/>
                <w:sz w:val="24"/>
                <w:szCs w:val="24"/>
              </w:rPr>
              <w:t>594</w:t>
            </w:r>
            <w:r w:rsidRPr="00050BF3">
              <w:rPr>
                <w:rFonts w:cs="Arial Unicode MS"/>
                <w:b/>
                <w:sz w:val="24"/>
                <w:szCs w:val="24"/>
              </w:rPr>
              <w:t>,</w:t>
            </w:r>
            <w:r w:rsidRPr="00050BF3">
              <w:rPr>
                <w:rFonts w:cs="Arial Unicode MS" w:hint="eastAsia"/>
                <w:b/>
                <w:sz w:val="24"/>
                <w:szCs w:val="24"/>
              </w:rPr>
              <w:t>101</w:t>
            </w:r>
          </w:p>
        </w:tc>
      </w:tr>
    </w:tbl>
    <w:p w:rsidR="00F92E86" w:rsidRPr="00E066A8" w:rsidRDefault="00F92E86" w:rsidP="00F92E86">
      <w:pPr>
        <w:pStyle w:val="10"/>
        <w:spacing w:line="240" w:lineRule="exact"/>
        <w:ind w:left="680" w:firstLine="680"/>
        <w:rPr>
          <w:color w:val="000000" w:themeColor="text1"/>
        </w:rPr>
      </w:pPr>
    </w:p>
    <w:p w:rsidR="00F92E86" w:rsidRPr="00C41FA4" w:rsidRDefault="00F92E86" w:rsidP="00F92E86">
      <w:pPr>
        <w:pStyle w:val="3"/>
        <w:numPr>
          <w:ilvl w:val="2"/>
          <w:numId w:val="1"/>
        </w:numPr>
        <w:rPr>
          <w:color w:val="000000" w:themeColor="text1"/>
        </w:rPr>
      </w:pPr>
      <w:r w:rsidRPr="00E066A8">
        <w:rPr>
          <w:rFonts w:hint="eastAsia"/>
        </w:rPr>
        <w:t>據</w:t>
      </w:r>
      <w:r>
        <w:rPr>
          <w:rFonts w:hint="eastAsia"/>
        </w:rPr>
        <w:t>營建署</w:t>
      </w:r>
      <w:r w:rsidRPr="00E066A8">
        <w:rPr>
          <w:rFonts w:hint="eastAsia"/>
        </w:rPr>
        <w:t>查復，依契約圖說(圖號FT-02)說明1.規定「路基填方鋪壓，依據本工程施工規範或公共工程委員會相關施工規範辦理，另碎石級配料依本圖之『碎石級配料規格表』規定辦理」，且「路基填方鋪壓」即為「級配粒料基層、底層之鋪壓」，因此該等工程級配粒料部分，契約雖援用較舊(V2.0)之版本，承商仍得依上開契約圖說規定，使用符合當時工程會施工規範新(V3.0)版本等。</w:t>
      </w:r>
      <w:r>
        <w:rPr>
          <w:rFonts w:hint="eastAsia"/>
        </w:rPr>
        <w:t>惟</w:t>
      </w:r>
      <w:r w:rsidRPr="00C41FA4">
        <w:rPr>
          <w:rFonts w:hint="eastAsia"/>
          <w:color w:val="000000" w:themeColor="text1"/>
        </w:rPr>
        <w:t>據工程會「公共工程施工綱要規範使用說明」四略以，施工綱要規範並非針對特定工程撰寫，主辦機關應視工程個案之特性、規模、經費大小、主辦機關層級、工程所在地等不同條件，自公共工程施工綱要規範中參考選擇相關之篇章，與設計圖等相關資料及文件編訂為一整份之契約文件，不能一字不改直接套用；施工綱要規範中之[ ]係表示選用項目或參數，主辦機關應視計畫特性，選用或填入較妥當之數據；於設計階段，須刪去其不適用之規範描述項等；另工程會104年5月29日函稱，綱要規範係為綱要性內容之格式，主辦機關或受委辦之工程設計單位，可參考綱要規範內容，就個案需求訂定機關招標及契約所需之施工規範。有關本工程鋼爐碴級配粒料底</w:t>
      </w:r>
      <w:r w:rsidRPr="00C41FA4">
        <w:rPr>
          <w:rFonts w:hint="eastAsia"/>
          <w:color w:val="000000" w:themeColor="text1"/>
        </w:rPr>
        <w:lastRenderedPageBreak/>
        <w:t>層，非屬契約列舉允許之材料部分，</w:t>
      </w:r>
      <w:r>
        <w:rPr>
          <w:rFonts w:hint="eastAsia"/>
          <w:color w:val="000000" w:themeColor="text1"/>
        </w:rPr>
        <w:t>營建署(代辦</w:t>
      </w:r>
      <w:r w:rsidRPr="00C41FA4">
        <w:rPr>
          <w:rFonts w:hint="eastAsia"/>
          <w:color w:val="000000" w:themeColor="text1"/>
        </w:rPr>
        <w:t>內政部</w:t>
      </w:r>
      <w:r>
        <w:rPr>
          <w:rFonts w:hint="eastAsia"/>
          <w:color w:val="000000" w:themeColor="text1"/>
        </w:rPr>
        <w:t>函稿)函</w:t>
      </w:r>
      <w:r w:rsidRPr="00C41FA4">
        <w:rPr>
          <w:rFonts w:hint="eastAsia"/>
          <w:color w:val="000000" w:themeColor="text1"/>
        </w:rPr>
        <w:t>稱逕依工程會相關施工規範辦理，與上開規定有間。</w:t>
      </w:r>
    </w:p>
    <w:p w:rsidR="00F92E86" w:rsidRDefault="00F92E86" w:rsidP="00F92E86">
      <w:pPr>
        <w:pStyle w:val="3"/>
        <w:numPr>
          <w:ilvl w:val="2"/>
          <w:numId w:val="1"/>
        </w:numPr>
      </w:pPr>
      <w:r w:rsidRPr="00E066A8">
        <w:rPr>
          <w:rFonts w:hint="eastAsia"/>
        </w:rPr>
        <w:t>另「路基填方鋪壓」即為「級配粒料基層、底層之鋪壓」部分，</w:t>
      </w:r>
      <w:r>
        <w:rPr>
          <w:rFonts w:hint="eastAsia"/>
        </w:rPr>
        <w:t>工程</w:t>
      </w:r>
      <w:r w:rsidRPr="00E066A8">
        <w:rPr>
          <w:rFonts w:hint="eastAsia"/>
        </w:rPr>
        <w:t>會綱要規範「第01421章規範定義」，已分別敘明底層、基層及路基之定義(按：底層為置於道路面層之下，具有預定厚度及規定材料之支持層，用以傳佈載重於基層或路基者。基層為底層與路基頂層之間依照設計厚度及符合規格材料填築之輔助層。路基為公路路面結構以下部分，用作路面與路肩之基礎。路面結構為鋪設於路基上之面層、底層及基層之結合體，用以荷負交通量並分佈其荷重於路基)，「底層、基層」屬路面結構，與「路基」明顯為不同之項目(按：路基在底層、基層之下方，路基之鋪壓，無法鋪壓路基上方之底層、基層)。本案「路基」與「底層、基層」既為不同定義，則</w:t>
      </w:r>
      <w:r>
        <w:rPr>
          <w:rFonts w:hint="eastAsia"/>
        </w:rPr>
        <w:t>營建署</w:t>
      </w:r>
      <w:r w:rsidRPr="00E066A8">
        <w:rPr>
          <w:rFonts w:hint="eastAsia"/>
        </w:rPr>
        <w:t>所稱「路基填方鋪壓」即為「級配粒料基層、底層之鋪壓」，即非正確，自無得以依圖說使用當時工程會施工規範新版本等之依據，即該等工程使用鋼爐碴作為配粒料底層，非屬契約規範所允許之材料。</w:t>
      </w:r>
    </w:p>
    <w:p w:rsidR="00F92E86" w:rsidRPr="00E066A8" w:rsidRDefault="00F92E86" w:rsidP="00F92E86">
      <w:pPr>
        <w:pStyle w:val="3"/>
        <w:numPr>
          <w:ilvl w:val="2"/>
          <w:numId w:val="1"/>
        </w:numPr>
      </w:pPr>
      <w:r>
        <w:rPr>
          <w:rFonts w:hint="eastAsia"/>
        </w:rPr>
        <w:t>復</w:t>
      </w:r>
      <w:r w:rsidRPr="00E066A8">
        <w:rPr>
          <w:rFonts w:hint="eastAsia"/>
        </w:rPr>
        <w:t>據</w:t>
      </w:r>
      <w:r>
        <w:rPr>
          <w:rFonts w:hint="eastAsia"/>
        </w:rPr>
        <w:t>營建署</w:t>
      </w:r>
      <w:r w:rsidRPr="00E066A8">
        <w:rPr>
          <w:rFonts w:hint="eastAsia"/>
        </w:rPr>
        <w:t>查復，「轉爐碴」與「電弧爐碴」，兩者之間為煉鋼過程中依製造方法所用設備不同而有不同名稱，CNS規範皆列為「鋼爐碴」，均適用於道路基底層材料；另安定化方法係屬材料製程技術，並非屬材料品質檢驗標準，該等工程95年間施工當時，就鋼爐碴級配粒料之吸水膨脹的特性無較完整研究文獻及施工規範。</w:t>
      </w:r>
      <w:r>
        <w:rPr>
          <w:rFonts w:hint="eastAsia"/>
        </w:rPr>
        <w:t>又</w:t>
      </w:r>
      <w:r w:rsidRPr="00E066A8">
        <w:rPr>
          <w:rFonts w:hint="eastAsia"/>
        </w:rPr>
        <w:t>按「電弧爐碴」與「轉爐碴」2者雖均屬CNS規範之「鋼爐碴」，惟係完全不同材料，前者(電弧爐碴)屬行為時「經濟部事業廢棄</w:t>
      </w:r>
      <w:r w:rsidRPr="00E066A8">
        <w:rPr>
          <w:rFonts w:hint="eastAsia"/>
        </w:rPr>
        <w:lastRenderedPageBreak/>
        <w:t>物再利用種類及管理方式」所規範，後者(轉爐碴)則無(其屬一貫作業煉鋼廠之副產品，非屬事業廢棄物)，其來源及屬性亦不相同，</w:t>
      </w:r>
      <w:r>
        <w:rPr>
          <w:rFonts w:hint="eastAsia"/>
        </w:rPr>
        <w:t>且</w:t>
      </w:r>
      <w:r w:rsidRPr="00E066A8">
        <w:rPr>
          <w:rFonts w:hint="eastAsia"/>
        </w:rPr>
        <w:t>臺灣高等法院103年度建上字第15號民事判決所載</w:t>
      </w:r>
      <w:r>
        <w:rPr>
          <w:rFonts w:hint="eastAsia"/>
        </w:rPr>
        <w:t>：</w:t>
      </w:r>
      <w:r w:rsidR="00800E1D">
        <w:rPr>
          <w:rFonts w:hint="eastAsia"/>
        </w:rPr>
        <w:t>經向</w:t>
      </w:r>
      <w:r w:rsidRPr="00E066A8">
        <w:rPr>
          <w:rFonts w:hint="eastAsia"/>
        </w:rPr>
        <w:t>中國鋼鐵股份有限公司函詢產出之轉爐石等性質及用途，</w:t>
      </w:r>
      <w:r>
        <w:rPr>
          <w:rFonts w:hint="eastAsia"/>
        </w:rPr>
        <w:t>據</w:t>
      </w:r>
      <w:r w:rsidRPr="00E066A8">
        <w:rPr>
          <w:rFonts w:hint="eastAsia"/>
        </w:rPr>
        <w:t>該公司103年7月22日查復：轉爐石主要化學成分為鈣、矽、鐵等氧化物及少量殘鋼，可做為便道級配、填海造陸圍堰工程背填料、衛生掩埋場覆土材料及瀝青混凝土骨材等用途等。依上開函示，該公司未主張轉爐石適用於一般道路之基底層級配使用；且據相關文獻表示，前者體積穩定，無膨脹疑慮(電弧爐碴之氧化碴)，後者因含游離氧化鈣、氧化鎂等物質，會引起膨脹，造成體積不穩定。</w:t>
      </w:r>
    </w:p>
    <w:p w:rsidR="00F00AEC" w:rsidRPr="00575D59" w:rsidRDefault="00F92E86" w:rsidP="00F92E86">
      <w:pPr>
        <w:pStyle w:val="3"/>
        <w:numPr>
          <w:ilvl w:val="2"/>
          <w:numId w:val="26"/>
        </w:numPr>
        <w:rPr>
          <w:rFonts w:hAnsi="Times New Roman" w:cs="標楷體"/>
          <w:color w:val="000000"/>
          <w:sz w:val="24"/>
        </w:rPr>
      </w:pPr>
      <w:r>
        <w:rPr>
          <w:rFonts w:hint="eastAsia"/>
        </w:rPr>
        <w:t>又依據</w:t>
      </w:r>
      <w:r w:rsidRPr="00E066A8">
        <w:rPr>
          <w:rFonts w:hint="eastAsia"/>
        </w:rPr>
        <w:t>臺灣省土木技師公會及臺南市土木技師公會</w:t>
      </w:r>
      <w:r>
        <w:rPr>
          <w:rFonts w:hint="eastAsia"/>
        </w:rPr>
        <w:t>所提</w:t>
      </w:r>
      <w:r w:rsidRPr="00E066A8">
        <w:rPr>
          <w:rFonts w:hint="eastAsia"/>
        </w:rPr>
        <w:t>相關鑑定報告均指出，轉爐碴完工2年後仍有最高3.0</w:t>
      </w:r>
      <w:r>
        <w:rPr>
          <w:rFonts w:hint="eastAsia"/>
        </w:rPr>
        <w:t>%</w:t>
      </w:r>
      <w:r w:rsidRPr="00E066A8">
        <w:rPr>
          <w:rFonts w:hint="eastAsia"/>
        </w:rPr>
        <w:t>至13.6</w:t>
      </w:r>
      <w:r>
        <w:rPr>
          <w:rFonts w:hint="eastAsia"/>
        </w:rPr>
        <w:t>%</w:t>
      </w:r>
      <w:r w:rsidRPr="00E066A8">
        <w:rPr>
          <w:rFonts w:hint="eastAsia"/>
        </w:rPr>
        <w:t>之膨脹率，</w:t>
      </w:r>
      <w:r>
        <w:rPr>
          <w:rFonts w:hint="eastAsia"/>
        </w:rPr>
        <w:t>惟</w:t>
      </w:r>
      <w:r w:rsidRPr="00E066A8">
        <w:rPr>
          <w:rFonts w:hint="eastAsia"/>
        </w:rPr>
        <w:t>承</w:t>
      </w:r>
      <w:r>
        <w:rPr>
          <w:rFonts w:hint="eastAsia"/>
        </w:rPr>
        <w:t>包廠</w:t>
      </w:r>
      <w:r w:rsidRPr="00E066A8">
        <w:rPr>
          <w:rFonts w:hint="eastAsia"/>
        </w:rPr>
        <w:t>商原申請核准以「電弧爐碴」為級配粒料底層之材料，其後</w:t>
      </w:r>
      <w:r>
        <w:rPr>
          <w:rFonts w:hint="eastAsia"/>
        </w:rPr>
        <w:t>卻</w:t>
      </w:r>
      <w:r w:rsidRPr="00E066A8">
        <w:rPr>
          <w:rFonts w:hint="eastAsia"/>
        </w:rPr>
        <w:t>未經變更程序，即改為使用體積不穩定之「轉爐碴」，營建署</w:t>
      </w:r>
      <w:r>
        <w:rPr>
          <w:rFonts w:hint="eastAsia"/>
        </w:rPr>
        <w:t>及</w:t>
      </w:r>
      <w:r w:rsidRPr="00E066A8">
        <w:rPr>
          <w:rFonts w:hint="eastAsia"/>
        </w:rPr>
        <w:t>監造單位除未能及時發現與原核定材料不同並處置外，僅以浸水膨脹比試驗小於1.5</w:t>
      </w:r>
      <w:r>
        <w:rPr>
          <w:rFonts w:hint="eastAsia"/>
        </w:rPr>
        <w:t>%</w:t>
      </w:r>
      <w:r w:rsidRPr="00E066A8">
        <w:rPr>
          <w:rFonts w:hint="eastAsia"/>
        </w:rPr>
        <w:t>，即判定該等爐碴材料符合契約規定；另臺南市土木技師公會於鑑定報告亦指出，廠商提供之品質文件並無「經普通安定化程序6個月以上」之證明，故不能確認所使用鋼爐碴已達安定性等</w:t>
      </w:r>
      <w:r>
        <w:rPr>
          <w:rFonts w:hint="eastAsia"/>
        </w:rPr>
        <w:t>。綜上所述，</w:t>
      </w:r>
      <w:r w:rsidRPr="0057322D">
        <w:rPr>
          <w:rFonts w:hint="eastAsia"/>
        </w:rPr>
        <w:t>營建署對於承包廠商使用非屬契約規範所允許之鋼爐碴級配粒料底層，未確實依代辦協議書規定督導監造單位覈實審查，且廠商實際使用轉爐碴亦與核定之電弧爐碴不同，顯見</w:t>
      </w:r>
      <w:r>
        <w:rPr>
          <w:rFonts w:hint="eastAsia"/>
        </w:rPr>
        <w:t>營建</w:t>
      </w:r>
      <w:r w:rsidRPr="00E066A8">
        <w:rPr>
          <w:rFonts w:hint="eastAsia"/>
        </w:rPr>
        <w:t>署</w:t>
      </w:r>
      <w:r>
        <w:rPr>
          <w:rFonts w:hint="eastAsia"/>
        </w:rPr>
        <w:t>未能發揮</w:t>
      </w:r>
      <w:r w:rsidRPr="00E066A8">
        <w:rPr>
          <w:rFonts w:hint="eastAsia"/>
        </w:rPr>
        <w:t>專業代辦機關應有之功能</w:t>
      </w:r>
      <w:r>
        <w:rPr>
          <w:rFonts w:hint="eastAsia"/>
        </w:rPr>
        <w:t>，</w:t>
      </w:r>
      <w:r w:rsidRPr="0057322D">
        <w:rPr>
          <w:rFonts w:hint="eastAsia"/>
        </w:rPr>
        <w:t>致完工後路面隆起漲裂，影響行車安全，斲傷政府形象</w:t>
      </w:r>
      <w:r w:rsidRPr="00E066A8">
        <w:rPr>
          <w:rFonts w:hint="eastAsia"/>
        </w:rPr>
        <w:t>。</w:t>
      </w:r>
    </w:p>
    <w:p w:rsidR="00286B1B" w:rsidRDefault="000512D1" w:rsidP="00C86866">
      <w:pPr>
        <w:pStyle w:val="10"/>
        <w:ind w:left="680" w:firstLine="680"/>
      </w:pPr>
      <w:bookmarkStart w:id="41" w:name="_Toc524902730"/>
      <w:bookmarkEnd w:id="35"/>
      <w:bookmarkEnd w:id="36"/>
      <w:bookmarkEnd w:id="37"/>
      <w:bookmarkEnd w:id="38"/>
      <w:bookmarkEnd w:id="39"/>
      <w:bookmarkEnd w:id="40"/>
      <w:r>
        <w:rPr>
          <w:rFonts w:hint="eastAsia"/>
        </w:rPr>
        <w:lastRenderedPageBreak/>
        <w:t>綜上所述，</w:t>
      </w:r>
      <w:r w:rsidR="009F1396" w:rsidRPr="009F1396">
        <w:rPr>
          <w:rFonts w:hint="eastAsia"/>
          <w:color w:val="000000" w:themeColor="text1"/>
        </w:rPr>
        <w:t>營建署辦理臺南科學工業園區特定區道路興闢工程，未修正協議書範本之要項及內容，造成設計審查與施工監造之督導明顯存有落差；又該署對於承包廠商使用非屬契約規範所允許之鋼爐碴級配粒料底層，未確實依代辦協議書規定督導監造單位覈實審查，致完工後路面隆起漲裂，影響行車安全，斲傷政府形象</w:t>
      </w:r>
      <w:r w:rsidR="009F1396" w:rsidRPr="009F1396">
        <w:rPr>
          <w:rFonts w:hAnsi="Arial" w:hint="eastAsia"/>
          <w:color w:val="000000" w:themeColor="text1"/>
        </w:rPr>
        <w:t>，</w:t>
      </w:r>
      <w:r w:rsidR="009F1396">
        <w:rPr>
          <w:rFonts w:hAnsi="Arial" w:hint="eastAsia"/>
          <w:color w:val="000000" w:themeColor="text1"/>
        </w:rPr>
        <w:t>顯</w:t>
      </w:r>
      <w:r>
        <w:rPr>
          <w:rFonts w:hint="eastAsia"/>
        </w:rPr>
        <w:t>有</w:t>
      </w:r>
      <w:r w:rsidR="0063649A">
        <w:rPr>
          <w:rFonts w:hint="eastAsia"/>
        </w:rPr>
        <w:t>疏</w:t>
      </w:r>
      <w:r>
        <w:rPr>
          <w:rFonts w:hint="eastAsia"/>
        </w:rPr>
        <w:t>失，爰依監察法第24條</w:t>
      </w:r>
      <w:r w:rsidRPr="000512D1">
        <w:rPr>
          <w:rFonts w:hint="eastAsia"/>
        </w:rPr>
        <w:t>規定</w:t>
      </w:r>
      <w:r>
        <w:rPr>
          <w:rFonts w:hint="eastAsia"/>
        </w:rPr>
        <w:t>提案糾正，移送</w:t>
      </w:r>
      <w:r w:rsidR="009F1396">
        <w:rPr>
          <w:rFonts w:hint="eastAsia"/>
        </w:rPr>
        <w:t>內政部</w:t>
      </w:r>
      <w:r>
        <w:rPr>
          <w:rFonts w:hint="eastAsia"/>
        </w:rPr>
        <w:t>轉飭所屬確實檢討改善見復</w:t>
      </w:r>
      <w:r w:rsidR="00286B1B">
        <w:rPr>
          <w:rFonts w:hint="eastAsia"/>
        </w:rPr>
        <w:t>。</w:t>
      </w:r>
    </w:p>
    <w:p w:rsidR="009F1396" w:rsidRDefault="009F1396" w:rsidP="0063649A">
      <w:pPr>
        <w:pStyle w:val="aa"/>
        <w:spacing w:beforeLines="150" w:before="685" w:afterLines="150" w:after="685"/>
        <w:ind w:leftChars="1100" w:left="3742"/>
        <w:rPr>
          <w:b w:val="0"/>
          <w:bCs/>
          <w:snapToGrid/>
          <w:spacing w:val="12"/>
          <w:kern w:val="0"/>
          <w:sz w:val="40"/>
        </w:rPr>
      </w:pPr>
      <w:bookmarkStart w:id="42" w:name="_Toc524895649"/>
      <w:bookmarkStart w:id="43" w:name="_Toc524896195"/>
      <w:bookmarkStart w:id="44" w:name="_Toc524896225"/>
      <w:bookmarkEnd w:id="42"/>
      <w:bookmarkEnd w:id="43"/>
      <w:bookmarkEnd w:id="44"/>
    </w:p>
    <w:p w:rsidR="00286B1B" w:rsidRPr="006D0935" w:rsidRDefault="00980AEE" w:rsidP="00980AEE">
      <w:pPr>
        <w:pStyle w:val="aa"/>
        <w:spacing w:beforeLines="150" w:before="685" w:afterLines="150" w:after="685"/>
        <w:ind w:left="0"/>
        <w:rPr>
          <w:b w:val="0"/>
          <w:bCs/>
          <w:snapToGrid/>
          <w:spacing w:val="12"/>
          <w:kern w:val="0"/>
          <w:sz w:val="40"/>
        </w:rPr>
      </w:pPr>
      <w:r>
        <w:rPr>
          <w:rFonts w:hint="eastAsia"/>
          <w:b w:val="0"/>
          <w:bCs/>
          <w:snapToGrid/>
          <w:spacing w:val="12"/>
          <w:kern w:val="0"/>
          <w:sz w:val="40"/>
        </w:rPr>
        <w:t xml:space="preserve">  </w:t>
      </w:r>
      <w:bookmarkStart w:id="45" w:name="_GoBack"/>
      <w:bookmarkEnd w:id="45"/>
    </w:p>
    <w:p w:rsidR="00AA6047" w:rsidRDefault="00AA6047" w:rsidP="00AA6047">
      <w:pPr>
        <w:pStyle w:val="af"/>
        <w:spacing w:line="240" w:lineRule="exact"/>
        <w:rPr>
          <w:rFonts w:hAnsi="標楷體"/>
          <w:bCs/>
        </w:rPr>
      </w:pPr>
    </w:p>
    <w:p w:rsidR="009F1396" w:rsidRDefault="009F1396" w:rsidP="00133AA2">
      <w:pPr>
        <w:pStyle w:val="af"/>
        <w:rPr>
          <w:rFonts w:hAnsi="標楷體"/>
          <w:bCs/>
        </w:rPr>
      </w:pPr>
    </w:p>
    <w:bookmarkEnd w:id="41"/>
    <w:p w:rsidR="009F1396" w:rsidRDefault="009F1396" w:rsidP="00133AA2">
      <w:pPr>
        <w:pStyle w:val="af"/>
        <w:rPr>
          <w:rFonts w:hAnsi="標楷體"/>
          <w:bCs/>
        </w:rPr>
      </w:pPr>
    </w:p>
    <w:sectPr w:rsidR="009F139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D3" w:rsidRDefault="00E654D3">
      <w:r>
        <w:separator/>
      </w:r>
    </w:p>
  </w:endnote>
  <w:endnote w:type="continuationSeparator" w:id="0">
    <w:p w:rsidR="00E654D3" w:rsidRDefault="00E6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55F46">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D3" w:rsidRDefault="00E654D3">
      <w:r>
        <w:separator/>
      </w:r>
    </w:p>
  </w:footnote>
  <w:footnote w:type="continuationSeparator" w:id="0">
    <w:p w:rsidR="00E654D3" w:rsidRDefault="00E65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86267A"/>
    <w:multiLevelType w:val="multilevel"/>
    <w:tmpl w:val="864C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6"/>
  </w:num>
  <w:num w:numId="36">
    <w:abstractNumId w:val="1"/>
    <w:lvlOverride w:ilvl="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Override>
    <w:lvlOverride w:ilvl="1">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Override>
    <w:lvlOverride w:ilvl="2">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Override>
    <w:lvlOverride w:ilvl="5">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2A7B"/>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5AEC"/>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5FC"/>
    <w:rsid w:val="0016480E"/>
    <w:rsid w:val="00174297"/>
    <w:rsid w:val="001817B3"/>
    <w:rsid w:val="00183014"/>
    <w:rsid w:val="001959C2"/>
    <w:rsid w:val="001A7968"/>
    <w:rsid w:val="001B2870"/>
    <w:rsid w:val="001B3483"/>
    <w:rsid w:val="001B3C1E"/>
    <w:rsid w:val="001B4494"/>
    <w:rsid w:val="001B6BC4"/>
    <w:rsid w:val="001C0D8B"/>
    <w:rsid w:val="001C0DA8"/>
    <w:rsid w:val="001E0D8A"/>
    <w:rsid w:val="001E205A"/>
    <w:rsid w:val="001E67BA"/>
    <w:rsid w:val="001E74C2"/>
    <w:rsid w:val="001F5A48"/>
    <w:rsid w:val="001F6260"/>
    <w:rsid w:val="00200007"/>
    <w:rsid w:val="00202A76"/>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25BB"/>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B1B"/>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7884"/>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649A"/>
    <w:rsid w:val="006470EC"/>
    <w:rsid w:val="0065598E"/>
    <w:rsid w:val="00655AF2"/>
    <w:rsid w:val="006568BE"/>
    <w:rsid w:val="00656D61"/>
    <w:rsid w:val="0066025D"/>
    <w:rsid w:val="006773EC"/>
    <w:rsid w:val="00680504"/>
    <w:rsid w:val="00681CD9"/>
    <w:rsid w:val="00683E30"/>
    <w:rsid w:val="00687024"/>
    <w:rsid w:val="00696415"/>
    <w:rsid w:val="006D3691"/>
    <w:rsid w:val="006E2DCE"/>
    <w:rsid w:val="006E5775"/>
    <w:rsid w:val="006F3563"/>
    <w:rsid w:val="006F42B9"/>
    <w:rsid w:val="006F6103"/>
    <w:rsid w:val="00704E00"/>
    <w:rsid w:val="00710E1A"/>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5664"/>
    <w:rsid w:val="007A3793"/>
    <w:rsid w:val="007B55F1"/>
    <w:rsid w:val="007C1BA2"/>
    <w:rsid w:val="007D20E9"/>
    <w:rsid w:val="007D7881"/>
    <w:rsid w:val="007D7E3A"/>
    <w:rsid w:val="007E0E10"/>
    <w:rsid w:val="007E4768"/>
    <w:rsid w:val="007E5BDD"/>
    <w:rsid w:val="007E777B"/>
    <w:rsid w:val="007F2070"/>
    <w:rsid w:val="00800E1D"/>
    <w:rsid w:val="008053F5"/>
    <w:rsid w:val="00810198"/>
    <w:rsid w:val="00815DA8"/>
    <w:rsid w:val="0082194D"/>
    <w:rsid w:val="00826EF5"/>
    <w:rsid w:val="00831693"/>
    <w:rsid w:val="00840104"/>
    <w:rsid w:val="00841FC5"/>
    <w:rsid w:val="00845709"/>
    <w:rsid w:val="008557FD"/>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0AEE"/>
    <w:rsid w:val="00983596"/>
    <w:rsid w:val="009849C2"/>
    <w:rsid w:val="00984D24"/>
    <w:rsid w:val="009858EB"/>
    <w:rsid w:val="009B0046"/>
    <w:rsid w:val="009C1440"/>
    <w:rsid w:val="009C2107"/>
    <w:rsid w:val="009C5D9E"/>
    <w:rsid w:val="009D2C3E"/>
    <w:rsid w:val="009E0625"/>
    <w:rsid w:val="009E3034"/>
    <w:rsid w:val="009E549F"/>
    <w:rsid w:val="009F1396"/>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047"/>
    <w:rsid w:val="00AB2FAB"/>
    <w:rsid w:val="00AB5C14"/>
    <w:rsid w:val="00AC1EE7"/>
    <w:rsid w:val="00AC333F"/>
    <w:rsid w:val="00AC585C"/>
    <w:rsid w:val="00AD1925"/>
    <w:rsid w:val="00AE067D"/>
    <w:rsid w:val="00AE1257"/>
    <w:rsid w:val="00AF1181"/>
    <w:rsid w:val="00AF2F79"/>
    <w:rsid w:val="00AF4653"/>
    <w:rsid w:val="00AF7DB7"/>
    <w:rsid w:val="00B443E4"/>
    <w:rsid w:val="00B55F46"/>
    <w:rsid w:val="00B563EA"/>
    <w:rsid w:val="00B60E51"/>
    <w:rsid w:val="00B63A54"/>
    <w:rsid w:val="00B77D18"/>
    <w:rsid w:val="00B80A09"/>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37C11"/>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4D3"/>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0AEC"/>
    <w:rsid w:val="00F019C6"/>
    <w:rsid w:val="00F14F67"/>
    <w:rsid w:val="00F16A14"/>
    <w:rsid w:val="00F231DC"/>
    <w:rsid w:val="00F277A3"/>
    <w:rsid w:val="00F362D7"/>
    <w:rsid w:val="00F37D7B"/>
    <w:rsid w:val="00F5314C"/>
    <w:rsid w:val="00F635DD"/>
    <w:rsid w:val="00F6627B"/>
    <w:rsid w:val="00F734F2"/>
    <w:rsid w:val="00F75052"/>
    <w:rsid w:val="00F804D3"/>
    <w:rsid w:val="00F81CD2"/>
    <w:rsid w:val="00F82641"/>
    <w:rsid w:val="00F90F18"/>
    <w:rsid w:val="00F92E86"/>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2B1F8E8-5D80-4F0D-9AD7-8132BE93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1.,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09EC-CE58-4F17-B8A6-B33EB5B1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821</Words>
  <Characters>4682</Characters>
  <Application>Microsoft Office Word</Application>
  <DocSecurity>0</DocSecurity>
  <Lines>39</Lines>
  <Paragraphs>10</Paragraphs>
  <ScaleCrop>false</ScaleCrop>
  <Company>cy</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謝琦瑛</cp:lastModifiedBy>
  <cp:revision>2</cp:revision>
  <cp:lastPrinted>2017-03-30T06:49:00Z</cp:lastPrinted>
  <dcterms:created xsi:type="dcterms:W3CDTF">2017-04-06T08:32:00Z</dcterms:created>
  <dcterms:modified xsi:type="dcterms:W3CDTF">2017-04-06T08:32:00Z</dcterms:modified>
</cp:coreProperties>
</file>